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243B0CBC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3BB6771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78CA7813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</w:t>
            </w:r>
            <w:r w:rsidR="005B49E1">
              <w:rPr>
                <w:szCs w:val="24"/>
              </w:rPr>
              <w:t>латунной трубки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1B1C8B17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2B89D1A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2729467D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60E4805C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67B6F6B2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334BD020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43B19885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2316B780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01CF07C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44130E18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2E59CEDD" w:rsidR="007603EE" w:rsidRPr="004150DA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 xml:space="preserve">Катасонова </w:t>
                  </w:r>
                  <w:proofErr w:type="gramStart"/>
                  <w:r>
                    <w:rPr>
                      <w:sz w:val="22"/>
                      <w:szCs w:val="20"/>
                    </w:rPr>
                    <w:t>Т.Е.</w:t>
                  </w:r>
                  <w:proofErr w:type="gramEnd"/>
                  <w:r>
                    <w:rPr>
                      <w:sz w:val="22"/>
                      <w:szCs w:val="20"/>
                    </w:rPr>
                    <w:t>, 8 (861 7) 63-46-57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68BB1BD9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</w:t>
            </w:r>
            <w:r w:rsidR="00783F72">
              <w:rPr>
                <w:szCs w:val="20"/>
              </w:rPr>
              <w:t>7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февраля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3A704C4B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3F240F54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</w:t>
                  </w:r>
                  <w:r w:rsidR="00783F72">
                    <w:rPr>
                      <w:szCs w:val="20"/>
                    </w:rPr>
                    <w:t>7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февраля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2623F7B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1B754CD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62F3D933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575412">
                    <w:t>0</w:t>
                  </w:r>
                  <w:r w:rsidR="000C6330">
                    <w:t>6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01BCC193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08411055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1DF3576A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575412">
                    <w:rPr>
                      <w:szCs w:val="20"/>
                      <w:shd w:val="clear" w:color="auto" w:fill="FFFFFF" w:themeFill="background1"/>
                      <w:lang w:val="en-US"/>
                    </w:rPr>
                    <w:t>0</w:t>
                  </w:r>
                  <w:r w:rsidR="000C6330">
                    <w:rPr>
                      <w:szCs w:val="20"/>
                      <w:shd w:val="clear" w:color="auto" w:fill="FFFFFF" w:themeFill="background1"/>
                    </w:rPr>
                    <w:t>6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2DB01108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6DA8952C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4A1F0123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0</w:t>
                  </w:r>
                  <w:r w:rsidR="000C6330">
                    <w:rPr>
                      <w:szCs w:val="20"/>
                    </w:rPr>
                    <w:t>6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09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5690744B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05AE290A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6E334A46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3CE5A657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0C6330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20F3E34D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0C6330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7D03EA4F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4905A93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57111416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00AF8AE1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4FCBBDDA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" w:name="_GoBack"/>
      <w:bookmarkEnd w:id="4"/>
    </w:p>
    <w:p w14:paraId="2882EDF6" w14:textId="77777777" w:rsidR="00374B58" w:rsidRDefault="00374B58" w:rsidP="00783F72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0C6330"/>
    <w:rsid w:val="00374B58"/>
    <w:rsid w:val="00575412"/>
    <w:rsid w:val="005B49E1"/>
    <w:rsid w:val="005C0C37"/>
    <w:rsid w:val="007603EE"/>
    <w:rsid w:val="00783F72"/>
    <w:rsid w:val="00951667"/>
    <w:rsid w:val="00DD24DA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7</cp:revision>
  <dcterms:created xsi:type="dcterms:W3CDTF">2019-02-21T08:44:00Z</dcterms:created>
  <dcterms:modified xsi:type="dcterms:W3CDTF">2019-02-27T08:25:00Z</dcterms:modified>
</cp:coreProperties>
</file>