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F33C51" w:rsidP="005D0539">
      <w:pPr>
        <w:ind w:left="4678" w:hanging="136"/>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65571">
        <w:rPr>
          <w:sz w:val="28"/>
          <w:szCs w:val="28"/>
        </w:rPr>
        <w:t xml:space="preserve">Председатель комиссии </w:t>
      </w:r>
      <w:r w:rsidR="00293828">
        <w:rPr>
          <w:sz w:val="28"/>
          <w:szCs w:val="28"/>
        </w:rPr>
        <w:t>А</w:t>
      </w:r>
      <w:r w:rsidR="00712293">
        <w:rPr>
          <w:sz w:val="28"/>
          <w:szCs w:val="28"/>
        </w:rPr>
        <w:t xml:space="preserve">О </w:t>
      </w:r>
      <w:r w:rsidR="00293828">
        <w:rPr>
          <w:sz w:val="28"/>
          <w:szCs w:val="28"/>
        </w:rPr>
        <w:t>«АТЭК</w:t>
      </w:r>
      <w:r w:rsidR="005D0539">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F700CB" w:rsidRDefault="004A2D76" w:rsidP="004A2D76">
      <w:pPr>
        <w:jc w:val="center"/>
        <w:rPr>
          <w:b/>
          <w:sz w:val="28"/>
          <w:szCs w:val="28"/>
        </w:rPr>
      </w:pPr>
      <w:r w:rsidRPr="00461297">
        <w:rPr>
          <w:b/>
          <w:sz w:val="28"/>
          <w:szCs w:val="28"/>
        </w:rPr>
        <w:t xml:space="preserve">ДОКУМЕНТАЦИЯ ОБ </w:t>
      </w:r>
      <w:r w:rsidR="00EC050F">
        <w:rPr>
          <w:b/>
          <w:sz w:val="28"/>
          <w:szCs w:val="28"/>
        </w:rPr>
        <w:t>ОТКРЫТОМ ЗАПРОСЕ ПРЕДЛОЖЕНИЙ</w:t>
      </w:r>
    </w:p>
    <w:p w:rsidR="00000F81" w:rsidRPr="00000F81" w:rsidRDefault="00000F81" w:rsidP="00000F81">
      <w:pPr>
        <w:widowControl w:val="0"/>
        <w:shd w:val="clear" w:color="auto" w:fill="FFFFFF"/>
        <w:autoSpaceDE w:val="0"/>
        <w:autoSpaceDN w:val="0"/>
        <w:adjustRightInd w:val="0"/>
        <w:jc w:val="center"/>
        <w:rPr>
          <w:b/>
          <w:sz w:val="28"/>
          <w:szCs w:val="28"/>
        </w:rPr>
      </w:pPr>
      <w:r w:rsidRPr="00000F81">
        <w:rPr>
          <w:b/>
          <w:sz w:val="28"/>
          <w:szCs w:val="28"/>
        </w:rPr>
        <w:t>среди субъектов малого и среднего предпринимательства</w:t>
      </w:r>
    </w:p>
    <w:p w:rsidR="004A2D76" w:rsidRDefault="004A2D76" w:rsidP="00911D6B">
      <w:pPr>
        <w:rPr>
          <w:b/>
          <w:sz w:val="28"/>
          <w:szCs w:val="28"/>
        </w:rPr>
      </w:pPr>
    </w:p>
    <w:p w:rsidR="004A2D76" w:rsidRPr="00461297" w:rsidRDefault="00B343FB" w:rsidP="00257221">
      <w:pPr>
        <w:widowControl w:val="0"/>
        <w:shd w:val="clear" w:color="auto" w:fill="FFFFFF"/>
        <w:autoSpaceDE w:val="0"/>
        <w:autoSpaceDN w:val="0"/>
        <w:adjustRightInd w:val="0"/>
        <w:jc w:val="center"/>
        <w:rPr>
          <w:b/>
          <w:sz w:val="28"/>
          <w:szCs w:val="28"/>
        </w:rPr>
      </w:pPr>
      <w:r w:rsidRPr="00D37735">
        <w:rPr>
          <w:b/>
        </w:rPr>
        <w:t>на право за</w:t>
      </w:r>
      <w:r>
        <w:rPr>
          <w:b/>
        </w:rPr>
        <w:t xml:space="preserve">ключения договора на </w:t>
      </w:r>
      <w:r w:rsidR="00AE6BB3" w:rsidRPr="00AE6BB3">
        <w:rPr>
          <w:b/>
        </w:rPr>
        <w:t xml:space="preserve">выполнение проектно-изыскательских работ </w:t>
      </w:r>
      <w:r w:rsidRPr="003F75F8">
        <w:rPr>
          <w:b/>
        </w:rPr>
        <w:t>по объекту</w:t>
      </w:r>
      <w:r>
        <w:rPr>
          <w:b/>
        </w:rPr>
        <w:t>:</w:t>
      </w:r>
      <w:r w:rsidRPr="003F75F8">
        <w:rPr>
          <w:b/>
        </w:rPr>
        <w:t xml:space="preserve"> </w:t>
      </w:r>
      <w:r w:rsidR="009524A2">
        <w:rPr>
          <w:b/>
        </w:rPr>
        <w:t>«Реконструкция котельной №26 по ул. Мозгового, 29, в с. Новомихайловское, перевод работы котельной с жидкого топлива на газ» для нужд филиала АО «АТЭК» «Гулькевичские тепловые сети».</w:t>
      </w: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AB0BD9" w:rsidRDefault="00AB0BD9" w:rsidP="00461297">
      <w:pPr>
        <w:rPr>
          <w:b/>
          <w:sz w:val="28"/>
          <w:szCs w:val="28"/>
        </w:rPr>
      </w:pPr>
    </w:p>
    <w:p w:rsidR="00EA5037" w:rsidRDefault="00EA5037"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1103E7" w:rsidRDefault="001103E7" w:rsidP="00461297">
      <w:pPr>
        <w:rPr>
          <w:b/>
          <w:sz w:val="28"/>
          <w:szCs w:val="28"/>
        </w:rPr>
      </w:pPr>
    </w:p>
    <w:p w:rsidR="00B343FB" w:rsidRDefault="00B343FB" w:rsidP="00461297">
      <w:pPr>
        <w:rPr>
          <w:b/>
          <w:sz w:val="28"/>
          <w:szCs w:val="28"/>
        </w:rPr>
      </w:pPr>
    </w:p>
    <w:p w:rsidR="00B343FB" w:rsidRDefault="00B343FB"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9524A2">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B343FB" w:rsidRDefault="00B343FB" w:rsidP="00C73AA4">
      <w:pPr>
        <w:jc w:val="center"/>
        <w:rPr>
          <w:sz w:val="28"/>
          <w:szCs w:val="28"/>
        </w:rPr>
      </w:pPr>
    </w:p>
    <w:p w:rsidR="009524A2" w:rsidRDefault="009524A2"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RPr="00000F81" w:rsidTr="00F40B2A">
        <w:tc>
          <w:tcPr>
            <w:tcW w:w="513" w:type="pct"/>
            <w:tcBorders>
              <w:top w:val="single" w:sz="4" w:space="0" w:color="auto"/>
              <w:left w:val="single" w:sz="4" w:space="0" w:color="auto"/>
              <w:bottom w:val="single" w:sz="4" w:space="0" w:color="auto"/>
              <w:right w:val="single" w:sz="4" w:space="0" w:color="auto"/>
            </w:tcBorders>
          </w:tcPr>
          <w:p w:rsidR="00ED2AC6" w:rsidRPr="00000F81"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000F81" w:rsidRDefault="00ED2AC6">
            <w:r w:rsidRPr="00000F81">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000F81" w:rsidRDefault="00ED2AC6" w:rsidP="00EC050F">
            <w:pPr>
              <w:rPr>
                <w:noProof/>
              </w:rPr>
            </w:pPr>
            <w:r w:rsidRPr="00000F81">
              <w:rPr>
                <w:noProof/>
              </w:rPr>
              <w:t>Общество с ограниченной ответственностью «Региональные комунальные системы» (ООО «РКС»)</w:t>
            </w:r>
          </w:p>
        </w:tc>
      </w:tr>
      <w:tr w:rsidR="00ED2AC6" w:rsidRPr="00000F81" w:rsidTr="00F40B2A">
        <w:tc>
          <w:tcPr>
            <w:tcW w:w="513" w:type="pct"/>
            <w:tcBorders>
              <w:top w:val="single" w:sz="4" w:space="0" w:color="auto"/>
              <w:left w:val="single" w:sz="4" w:space="0" w:color="auto"/>
              <w:bottom w:val="single" w:sz="4" w:space="0" w:color="auto"/>
              <w:right w:val="single" w:sz="4" w:space="0" w:color="auto"/>
            </w:tcBorders>
          </w:tcPr>
          <w:p w:rsidR="00ED2AC6" w:rsidRPr="00000F81"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000F81" w:rsidRDefault="00ED2AC6" w:rsidP="00ED2AC6">
            <w:r w:rsidRPr="00000F81">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000F81" w:rsidRDefault="00ED2AC6" w:rsidP="00ED2AC6">
            <w:pPr>
              <w:rPr>
                <w:noProof/>
              </w:rPr>
            </w:pPr>
            <w:r w:rsidRPr="00000F81">
              <w:rPr>
                <w:noProof/>
              </w:rPr>
              <w:t>350000, Краснодарский край, г. Краснодар, ул. Северная, дом 319</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r w:rsidRPr="00000F81">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rFonts w:eastAsia="Calibri"/>
              </w:rPr>
              <w:t>350039, РФ, г. Краснодар, Мирный проезд, 4/1</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Акционерное общество «Автономная теплоэнергетическая компания» (АО «АТЭК»)</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rFonts w:eastAsia="Calibri"/>
              </w:rPr>
              <w:t>350000, РФ, г. Краснодар, ул. Длинная, 120</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rFonts w:eastAsia="Calibri"/>
              </w:rPr>
              <w:t>350000, РФ, г. Краснодар, ул. Длинная, 120</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r w:rsidRPr="00000F81">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 xml:space="preserve">Открытый запрос предложений </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0503C5" w:rsidP="00B343FB">
            <w:pPr>
              <w:rPr>
                <w:rStyle w:val="ad"/>
              </w:rPr>
            </w:pPr>
            <w:hyperlink r:id="rId7" w:history="1">
              <w:r w:rsidR="00B343FB" w:rsidRPr="00000F81">
                <w:rPr>
                  <w:rStyle w:val="ad"/>
                </w:rPr>
                <w:t>http://zakupki.gov.ru</w:t>
              </w:r>
            </w:hyperlink>
          </w:p>
          <w:p w:rsidR="00B343FB" w:rsidRPr="00000F81" w:rsidRDefault="00B343FB" w:rsidP="00B343FB">
            <w:pPr>
              <w:rPr>
                <w:rStyle w:val="ad"/>
              </w:rPr>
            </w:pPr>
          </w:p>
          <w:p w:rsidR="00B343FB" w:rsidRPr="00000F81" w:rsidRDefault="00B343FB" w:rsidP="00B343FB">
            <w:pPr>
              <w:rPr>
                <w:noProof/>
              </w:rPr>
            </w:pPr>
            <w:r w:rsidRPr="00000F81">
              <w:rPr>
                <w:noProof/>
              </w:rPr>
              <w:t>http://oao-atek.ru</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 xml:space="preserve">(861) 298 10 66 </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r w:rsidRPr="00000F81">
              <w:t xml:space="preserve">Факс </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(861) 298 10 67</w:t>
            </w:r>
          </w:p>
        </w:tc>
      </w:tr>
      <w:tr w:rsidR="00B343FB" w:rsidRPr="00000F81" w:rsidTr="00F40B2A">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9524A2" w:rsidP="00B343FB">
            <w:r w:rsidRPr="00000F81">
              <w:t>Должностное лицо</w:t>
            </w:r>
            <w:r w:rsidR="00B343FB" w:rsidRPr="00000F81">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524A2" w:rsidRPr="00000F81" w:rsidRDefault="009524A2" w:rsidP="009524A2">
            <w:pPr>
              <w:rPr>
                <w:noProof/>
              </w:rPr>
            </w:pPr>
            <w:r w:rsidRPr="00000F81">
              <w:rPr>
                <w:noProof/>
              </w:rPr>
              <w:t xml:space="preserve">Председатель закупочной комиссии </w:t>
            </w:r>
          </w:p>
          <w:p w:rsidR="009524A2" w:rsidRPr="00000F81" w:rsidRDefault="009524A2" w:rsidP="009524A2">
            <w:pPr>
              <w:rPr>
                <w:noProof/>
              </w:rPr>
            </w:pPr>
            <w:r w:rsidRPr="00000F81">
              <w:rPr>
                <w:noProof/>
              </w:rPr>
              <w:t xml:space="preserve">Иваньева Валентина Петровна </w:t>
            </w:r>
          </w:p>
          <w:p w:rsidR="00B343FB" w:rsidRPr="00000F81" w:rsidRDefault="000503C5" w:rsidP="009524A2">
            <w:pPr>
              <w:rPr>
                <w:noProof/>
              </w:rPr>
            </w:pPr>
            <w:hyperlink r:id="rId8" w:history="1">
              <w:r w:rsidR="009524A2" w:rsidRPr="00000F81">
                <w:rPr>
                  <w:rStyle w:val="ad"/>
                  <w:noProof/>
                  <w:lang w:val="en-US"/>
                </w:rPr>
                <w:t>Ivaneva</w:t>
              </w:r>
              <w:r w:rsidR="009524A2" w:rsidRPr="00000F81">
                <w:rPr>
                  <w:rStyle w:val="ad"/>
                  <w:noProof/>
                </w:rPr>
                <w:t>_</w:t>
              </w:r>
              <w:r w:rsidR="009524A2" w:rsidRPr="00000F81">
                <w:rPr>
                  <w:rStyle w:val="ad"/>
                  <w:noProof/>
                  <w:lang w:val="en-US"/>
                </w:rPr>
                <w:t>v</w:t>
              </w:r>
              <w:r w:rsidR="009524A2" w:rsidRPr="00000F81">
                <w:rPr>
                  <w:rStyle w:val="ad"/>
                  <w:noProof/>
                </w:rPr>
                <w:t>@</w:t>
              </w:r>
              <w:r w:rsidR="009524A2" w:rsidRPr="00000F81">
                <w:rPr>
                  <w:rStyle w:val="ad"/>
                  <w:noProof/>
                  <w:lang w:val="en-US"/>
                </w:rPr>
                <w:t>krteplo</w:t>
              </w:r>
              <w:r w:rsidR="009524A2" w:rsidRPr="00000F81">
                <w:rPr>
                  <w:rStyle w:val="ad"/>
                  <w:noProof/>
                </w:rPr>
                <w:t>.</w:t>
              </w:r>
              <w:r w:rsidR="009524A2" w:rsidRPr="00000F81">
                <w:rPr>
                  <w:rStyle w:val="ad"/>
                  <w:noProof/>
                  <w:lang w:val="en-US"/>
                </w:rPr>
                <w:t>ru</w:t>
              </w:r>
            </w:hyperlink>
            <w:r w:rsidR="009524A2" w:rsidRPr="00000F81">
              <w:rPr>
                <w:noProof/>
              </w:rPr>
              <w:t xml:space="preserve">  тел. (861) 298 10 67</w:t>
            </w:r>
          </w:p>
        </w:tc>
      </w:tr>
      <w:tr w:rsidR="00911D6B" w:rsidRPr="00000F81" w:rsidTr="00F40B2A">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524A2" w:rsidP="00911D6B">
            <w:r w:rsidRPr="00000F81">
              <w:t>Должностное лицо заказчика,</w:t>
            </w:r>
            <w:r w:rsidR="00911D6B" w:rsidRPr="00000F81">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524A2" w:rsidRPr="00000F81" w:rsidRDefault="002D39BD" w:rsidP="00911D6B">
            <w:pPr>
              <w:rPr>
                <w:color w:val="000000"/>
              </w:rPr>
            </w:pPr>
            <w:r w:rsidRPr="00000F81">
              <w:rPr>
                <w:color w:val="000000"/>
              </w:rPr>
              <w:t xml:space="preserve">Техническую информацию можно получить в отделе капитального </w:t>
            </w:r>
            <w:r w:rsidR="009524A2" w:rsidRPr="00000F81">
              <w:rPr>
                <w:color w:val="000000"/>
              </w:rPr>
              <w:t>строительства,</w:t>
            </w:r>
          </w:p>
          <w:p w:rsidR="009524A2" w:rsidRPr="00000F81" w:rsidRDefault="002D39BD" w:rsidP="00911D6B">
            <w:pPr>
              <w:rPr>
                <w:color w:val="000000"/>
              </w:rPr>
            </w:pPr>
            <w:r w:rsidRPr="00000F81">
              <w:rPr>
                <w:color w:val="000000"/>
              </w:rPr>
              <w:t xml:space="preserve">Н.В. </w:t>
            </w:r>
            <w:r w:rsidR="009524A2" w:rsidRPr="00000F81">
              <w:rPr>
                <w:color w:val="000000"/>
              </w:rPr>
              <w:t>Бурнос, в</w:t>
            </w:r>
            <w:r w:rsidRPr="00000F81">
              <w:rPr>
                <w:color w:val="000000"/>
              </w:rPr>
              <w:t xml:space="preserve"> рабочее время с 8-00 до 17-00 по адресу: г. Краснодар ул. Длинная, 120 по тел. 8(861)299-10-10 (доб. 220</w:t>
            </w:r>
            <w:r w:rsidR="009524A2" w:rsidRPr="00000F81">
              <w:rPr>
                <w:color w:val="000000"/>
              </w:rPr>
              <w:t>),</w:t>
            </w:r>
          </w:p>
          <w:p w:rsidR="00C3783A" w:rsidRPr="00000F81" w:rsidRDefault="002D39BD" w:rsidP="00911D6B">
            <w:pPr>
              <w:rPr>
                <w:color w:val="000000"/>
              </w:rPr>
            </w:pPr>
            <w:r w:rsidRPr="00000F81">
              <w:rPr>
                <w:color w:val="000000"/>
              </w:rPr>
              <w:t>Burnos-nv@krteplo.ru.</w:t>
            </w:r>
          </w:p>
        </w:tc>
      </w:tr>
      <w:tr w:rsidR="00911D6B" w:rsidRPr="00000F81"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Наименование объекта закупки</w:t>
            </w:r>
          </w:p>
          <w:p w:rsidR="00911D6B" w:rsidRPr="00000F81" w:rsidRDefault="00911D6B" w:rsidP="00911D6B">
            <w:pPr>
              <w:rPr>
                <w:noProof/>
              </w:rPr>
            </w:pPr>
            <w:r w:rsidRPr="00000F81">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257221">
            <w:pPr>
              <w:widowControl w:val="0"/>
              <w:shd w:val="clear" w:color="auto" w:fill="FFFFFF"/>
              <w:autoSpaceDE w:val="0"/>
              <w:autoSpaceDN w:val="0"/>
              <w:adjustRightInd w:val="0"/>
              <w:jc w:val="both"/>
              <w:rPr>
                <w:rFonts w:eastAsia="Calibri"/>
              </w:rPr>
            </w:pPr>
            <w:bookmarkStart w:id="0" w:name="mTenderCode"/>
            <w:bookmarkEnd w:id="0"/>
            <w:r w:rsidRPr="00000F81">
              <w:t>Открытый запрос предложений</w:t>
            </w:r>
            <w:r w:rsidR="001103E7" w:rsidRPr="00000F81">
              <w:t xml:space="preserve"> на право заключения договора </w:t>
            </w:r>
            <w:r w:rsidR="00AE6BB3" w:rsidRPr="00000F81">
              <w:t>на выполнение проектно-изыскательских работ</w:t>
            </w:r>
            <w:r w:rsidR="001103E7" w:rsidRPr="00000F81">
              <w:t xml:space="preserve"> по объекту: </w:t>
            </w:r>
            <w:r w:rsidR="00137123" w:rsidRPr="00000F81">
              <w:t>«</w:t>
            </w:r>
            <w:r w:rsidR="004D7770" w:rsidRPr="00000F81">
              <w:t>Реконструкция котельной №26 по ул. Мозгового, 29, в с. Новомихайловское, перевод работы котельной с жидкого топлива на газ» для нужд филиала АО «АТЭК» «Гулькевичские тепловые сети»</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 xml:space="preserve">Описание объекта закупки </w:t>
            </w:r>
          </w:p>
          <w:p w:rsidR="00911D6B" w:rsidRPr="00000F81" w:rsidRDefault="00911D6B" w:rsidP="00911D6B">
            <w:pPr>
              <w:rPr>
                <w:noProof/>
              </w:rPr>
            </w:pPr>
            <w:r w:rsidRPr="00000F81">
              <w:rPr>
                <w:noProof/>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r w:rsidRPr="00000F81">
              <w:rPr>
                <w:noProof/>
              </w:rPr>
              <w:lastRenderedPageBreak/>
              <w:t>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lastRenderedPageBreak/>
              <w:t>В соответствии с Техническим заданием (Приложение №1)</w:t>
            </w:r>
          </w:p>
          <w:p w:rsidR="00911D6B" w:rsidRPr="00000F81" w:rsidRDefault="00911D6B" w:rsidP="00911D6B">
            <w:pPr>
              <w:rPr>
                <w:noProof/>
              </w:rPr>
            </w:pP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4D7770" w:rsidP="00911D6B">
            <w:pPr>
              <w:suppressAutoHyphens/>
              <w:rPr>
                <w:rFonts w:eastAsia="Calibri"/>
                <w:lang w:eastAsia="en-US"/>
              </w:rPr>
            </w:pPr>
            <w:r w:rsidRPr="00000F81">
              <w:rPr>
                <w:noProof/>
              </w:rPr>
              <w:t>В соответствие с Техническим заданием (Приложение №1)</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2D39BD" w:rsidP="00911D6B">
            <w:pPr>
              <w:rPr>
                <w:noProof/>
              </w:rPr>
            </w:pPr>
            <w:r w:rsidRPr="00000F81">
              <w:rPr>
                <w:noProof/>
              </w:rPr>
              <w:t>В соответствие с Техническим заданием (Приложение №1) и сметными расчетами.</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2D39BD" w:rsidP="002D39BD">
            <w:pPr>
              <w:spacing w:line="276" w:lineRule="auto"/>
              <w:jc w:val="both"/>
              <w:rPr>
                <w:b/>
                <w:bCs/>
                <w:color w:val="000000"/>
              </w:rPr>
            </w:pPr>
            <w:r w:rsidRPr="00000F81">
              <w:rPr>
                <w:rFonts w:eastAsia="Calibri"/>
              </w:rPr>
              <w:t>В течение 14 (четырнадцати) календарных дней с момента заключения договора.</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pStyle w:val="ConsPlusNormal0"/>
              <w:rPr>
                <w:rFonts w:ascii="Times New Roman" w:hAnsi="Times New Roman" w:cs="Times New Roman"/>
                <w:sz w:val="24"/>
                <w:szCs w:val="24"/>
              </w:rPr>
            </w:pPr>
            <w:r w:rsidRPr="00000F81">
              <w:rPr>
                <w:rFonts w:ascii="Times New Roman" w:hAnsi="Times New Roman" w:cs="Times New Roman"/>
                <w:sz w:val="24"/>
                <w:szCs w:val="24"/>
              </w:rPr>
              <w:t>Начальная (максимальная) цена договора</w:t>
            </w:r>
          </w:p>
          <w:p w:rsidR="00911D6B" w:rsidRPr="00000F81"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137123" w:rsidRPr="00000F81" w:rsidRDefault="00B343FB" w:rsidP="00137123">
            <w:pPr>
              <w:widowControl w:val="0"/>
              <w:autoSpaceDE w:val="0"/>
              <w:autoSpaceDN w:val="0"/>
              <w:adjustRightInd w:val="0"/>
              <w:jc w:val="both"/>
            </w:pPr>
            <w:r w:rsidRPr="00000F81">
              <w:rPr>
                <w:b/>
              </w:rPr>
              <w:t>Начальная (максимальная) цена договора включая НДС 18%:</w:t>
            </w:r>
            <w:r w:rsidR="00137123" w:rsidRPr="00000F81">
              <w:rPr>
                <w:b/>
              </w:rPr>
              <w:t xml:space="preserve"> </w:t>
            </w:r>
            <w:r w:rsidR="00015416" w:rsidRPr="00000F81">
              <w:t>780 179 (семьсот восемьдесят тысяч сто семьдесят девять) рублей 10</w:t>
            </w:r>
            <w:r w:rsidR="00137123" w:rsidRPr="00000F81">
              <w:t xml:space="preserve"> копеек. </w:t>
            </w:r>
          </w:p>
          <w:p w:rsidR="00911D6B" w:rsidRPr="00000F81" w:rsidRDefault="00B343FB" w:rsidP="00A23DC3">
            <w:pPr>
              <w:widowControl w:val="0"/>
              <w:autoSpaceDE w:val="0"/>
              <w:autoSpaceDN w:val="0"/>
              <w:adjustRightInd w:val="0"/>
              <w:jc w:val="both"/>
            </w:pPr>
            <w:r w:rsidRPr="00000F81">
              <w:rPr>
                <w:b/>
              </w:rPr>
              <w:t>Начальная (максимальная) цена договора без НДС:</w:t>
            </w:r>
            <w:r w:rsidRPr="00000F81">
              <w:t xml:space="preserve"> </w:t>
            </w:r>
            <w:r w:rsidR="00A23DC3" w:rsidRPr="00000F81">
              <w:t>661 168</w:t>
            </w:r>
            <w:r w:rsidR="00137123" w:rsidRPr="00000F81">
              <w:t xml:space="preserve"> (</w:t>
            </w:r>
            <w:r w:rsidR="00A23DC3" w:rsidRPr="00000F81">
              <w:t>шестьсот шестьдесят одна тысяча сто шестьдесят восемь</w:t>
            </w:r>
            <w:r w:rsidR="00137123" w:rsidRPr="00000F81">
              <w:t>) рубл</w:t>
            </w:r>
            <w:r w:rsidR="00A23DC3" w:rsidRPr="00000F81">
              <w:t>ей</w:t>
            </w:r>
            <w:r w:rsidR="00137123" w:rsidRPr="00000F81">
              <w:t xml:space="preserve"> </w:t>
            </w:r>
            <w:r w:rsidR="00A23DC3" w:rsidRPr="00000F81">
              <w:t xml:space="preserve">73 </w:t>
            </w:r>
            <w:r w:rsidR="00137123" w:rsidRPr="00000F81">
              <w:t>копе</w:t>
            </w:r>
            <w:r w:rsidR="00A23DC3" w:rsidRPr="00000F81">
              <w:t>й</w:t>
            </w:r>
            <w:r w:rsidR="00137123" w:rsidRPr="00000F81">
              <w:t>к</w:t>
            </w:r>
            <w:r w:rsidR="00A23DC3" w:rsidRPr="00000F81">
              <w:t>и</w:t>
            </w:r>
            <w:r w:rsidR="00137123" w:rsidRPr="00000F81">
              <w:t>.</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pStyle w:val="ConsPlusNormal0"/>
              <w:rPr>
                <w:rFonts w:ascii="Times New Roman" w:hAnsi="Times New Roman" w:cs="Times New Roman"/>
                <w:sz w:val="24"/>
                <w:szCs w:val="24"/>
              </w:rPr>
            </w:pPr>
            <w:r w:rsidRPr="00000F81">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widowControl w:val="0"/>
              <w:suppressAutoHyphens/>
              <w:autoSpaceDE w:val="0"/>
              <w:autoSpaceDN w:val="0"/>
              <w:adjustRightInd w:val="0"/>
              <w:jc w:val="both"/>
            </w:pPr>
            <w:r w:rsidRPr="00000F81">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i/>
              </w:rPr>
            </w:pPr>
            <w:r w:rsidRPr="00000F81">
              <w:rPr>
                <w:i/>
              </w:rPr>
              <w:t>Не установлено</w:t>
            </w:r>
          </w:p>
          <w:p w:rsidR="00911D6B" w:rsidRPr="00000F81" w:rsidRDefault="00911D6B" w:rsidP="00911D6B">
            <w:pPr>
              <w:rPr>
                <w:i/>
              </w:rPr>
            </w:pP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i/>
              </w:rPr>
            </w:pPr>
            <w:r w:rsidRPr="00000F81">
              <w:rPr>
                <w:i/>
              </w:rPr>
              <w:t>Не установлено</w:t>
            </w:r>
          </w:p>
          <w:p w:rsidR="00911D6B" w:rsidRPr="00000F81" w:rsidRDefault="00911D6B" w:rsidP="00911D6B">
            <w:pPr>
              <w:rPr>
                <w:i/>
              </w:rPr>
            </w:pP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Безналичный расчет</w:t>
            </w:r>
          </w:p>
          <w:p w:rsidR="00911D6B" w:rsidRPr="00000F81" w:rsidRDefault="00911D6B" w:rsidP="00911D6B">
            <w:pPr>
              <w:rPr>
                <w:noProof/>
              </w:rPr>
            </w:pP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2D39BD" w:rsidP="002D39BD">
            <w:pPr>
              <w:rPr>
                <w:i/>
                <w:noProof/>
              </w:rPr>
            </w:pPr>
            <w:r w:rsidRPr="00000F81">
              <w:rPr>
                <w:i/>
                <w:noProof/>
              </w:rPr>
              <w:t>Не у</w:t>
            </w:r>
            <w:r w:rsidR="00911D6B" w:rsidRPr="00000F81">
              <w:rPr>
                <w:i/>
                <w:noProof/>
              </w:rPr>
              <w:t>становлено</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2D39BD">
            <w:pPr>
              <w:tabs>
                <w:tab w:val="left" w:pos="0"/>
              </w:tabs>
              <w:jc w:val="both"/>
            </w:pPr>
            <w:r w:rsidRPr="00000F81">
              <w:t xml:space="preserve">Оплата производится на основании оригинала счета после </w:t>
            </w:r>
            <w:r w:rsidR="002D39BD" w:rsidRPr="00000F81">
              <w:t>подписания</w:t>
            </w:r>
            <w:r w:rsidRPr="00000F81">
              <w:t xml:space="preserve"> актов выполненных </w:t>
            </w:r>
            <w:r w:rsidR="00A23DC3" w:rsidRPr="00000F81">
              <w:t>работ, в</w:t>
            </w:r>
            <w:r w:rsidRPr="00000F81">
              <w:t xml:space="preserve"> течение </w:t>
            </w:r>
            <w:r w:rsidR="00B343FB" w:rsidRPr="00000F81">
              <w:t>30</w:t>
            </w:r>
            <w:r w:rsidRPr="00000F81">
              <w:t xml:space="preserve"> (</w:t>
            </w:r>
            <w:r w:rsidR="00B343FB" w:rsidRPr="00000F81">
              <w:t>тридцати</w:t>
            </w:r>
            <w:r w:rsidRPr="00000F81">
              <w:t>) календарных дней</w:t>
            </w:r>
            <w:r w:rsidR="002D39BD" w:rsidRPr="00000F81">
              <w:t>.</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pStyle w:val="ConsPlusNormal0"/>
              <w:rPr>
                <w:rFonts w:ascii="Times New Roman" w:hAnsi="Times New Roman" w:cs="Times New Roman"/>
                <w:sz w:val="24"/>
                <w:szCs w:val="24"/>
              </w:rPr>
            </w:pPr>
            <w:r w:rsidRPr="00000F81">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r w:rsidRPr="00000F81">
              <w:t xml:space="preserve">рубль РФ </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pStyle w:val="ConsPlusNormal0"/>
              <w:rPr>
                <w:rFonts w:ascii="Times New Roman" w:hAnsi="Times New Roman" w:cs="Times New Roman"/>
                <w:sz w:val="24"/>
                <w:szCs w:val="24"/>
              </w:rPr>
            </w:pPr>
            <w:r w:rsidRPr="00000F81">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jc w:val="both"/>
            </w:pPr>
            <w:r w:rsidRPr="00000F81">
              <w:t>Собственные средства</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Размер обеспечения заявки на участие в открытом запросе предложений от начальной (максимальной) цены, %</w:t>
            </w:r>
          </w:p>
          <w:p w:rsidR="00911D6B" w:rsidRPr="00000F81" w:rsidRDefault="00911D6B" w:rsidP="00911D6B">
            <w:pPr>
              <w:rPr>
                <w:noProof/>
              </w:rPr>
            </w:pPr>
          </w:p>
          <w:p w:rsidR="00911D6B" w:rsidRPr="00000F81" w:rsidRDefault="00911D6B" w:rsidP="00911D6B">
            <w:pPr>
              <w:rPr>
                <w:noProof/>
              </w:rPr>
            </w:pPr>
            <w:r w:rsidRPr="00000F81">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jc w:val="both"/>
              <w:rPr>
                <w:noProof/>
              </w:rPr>
            </w:pPr>
          </w:p>
          <w:p w:rsidR="00911D6B" w:rsidRPr="00000F81" w:rsidRDefault="00911D6B" w:rsidP="00911D6B">
            <w:pPr>
              <w:jc w:val="both"/>
              <w:rPr>
                <w:i/>
                <w:noProof/>
              </w:rPr>
            </w:pPr>
          </w:p>
          <w:p w:rsidR="00911D6B" w:rsidRPr="00000F81" w:rsidRDefault="00911D6B" w:rsidP="00911D6B">
            <w:pPr>
              <w:jc w:val="both"/>
              <w:rPr>
                <w:i/>
                <w:noProof/>
              </w:rPr>
            </w:pPr>
          </w:p>
          <w:p w:rsidR="00911D6B" w:rsidRPr="00000F81" w:rsidRDefault="00911D6B" w:rsidP="00911D6B">
            <w:pPr>
              <w:jc w:val="both"/>
              <w:rPr>
                <w:i/>
                <w:noProof/>
              </w:rPr>
            </w:pPr>
            <w:r w:rsidRPr="00000F81">
              <w:rPr>
                <w:i/>
                <w:noProof/>
              </w:rPr>
              <w:t>Не установлено</w:t>
            </w:r>
          </w:p>
          <w:p w:rsidR="00911D6B" w:rsidRPr="00000F81" w:rsidRDefault="00911D6B" w:rsidP="00911D6B">
            <w:pPr>
              <w:jc w:val="both"/>
              <w:rPr>
                <w:noProof/>
              </w:rPr>
            </w:pPr>
          </w:p>
          <w:p w:rsidR="00911D6B" w:rsidRPr="00000F81" w:rsidRDefault="00911D6B" w:rsidP="00911D6B">
            <w:pPr>
              <w:jc w:val="both"/>
              <w:rPr>
                <w:noProof/>
              </w:rPr>
            </w:pPr>
          </w:p>
          <w:p w:rsidR="00911D6B" w:rsidRPr="00000F81" w:rsidRDefault="00911D6B" w:rsidP="00911D6B">
            <w:pPr>
              <w:jc w:val="both"/>
            </w:pPr>
          </w:p>
          <w:p w:rsidR="00911D6B" w:rsidRPr="00000F81" w:rsidRDefault="00911D6B" w:rsidP="00911D6B">
            <w:pPr>
              <w:jc w:val="both"/>
              <w:rPr>
                <w:noProof/>
              </w:rPr>
            </w:pPr>
          </w:p>
        </w:tc>
      </w:tr>
      <w:tr w:rsidR="00911D6B" w:rsidRPr="00000F81"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Размер обеспечения исполнения  контракта от начальной (максимальной) цены контракта, %</w:t>
            </w:r>
          </w:p>
          <w:p w:rsidR="00911D6B" w:rsidRPr="00000F81" w:rsidRDefault="00911D6B" w:rsidP="00911D6B">
            <w:pPr>
              <w:rPr>
                <w:noProof/>
              </w:rPr>
            </w:pPr>
          </w:p>
          <w:p w:rsidR="00911D6B" w:rsidRPr="00000F81" w:rsidRDefault="00911D6B" w:rsidP="00911D6B">
            <w:pPr>
              <w:rPr>
                <w:noProof/>
              </w:rPr>
            </w:pPr>
            <w:r w:rsidRPr="00000F81">
              <w:rPr>
                <w:noProof/>
              </w:rPr>
              <w:lastRenderedPageBreak/>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bookmarkStart w:id="1" w:name="mPrice"/>
            <w:bookmarkEnd w:id="1"/>
          </w:p>
          <w:p w:rsidR="00911D6B" w:rsidRPr="00000F81" w:rsidRDefault="00911D6B" w:rsidP="00911D6B"/>
          <w:p w:rsidR="00911D6B" w:rsidRPr="00000F81" w:rsidRDefault="00911D6B" w:rsidP="00911D6B">
            <w:pPr>
              <w:jc w:val="both"/>
              <w:rPr>
                <w:i/>
                <w:noProof/>
              </w:rPr>
            </w:pPr>
            <w:r w:rsidRPr="00000F81">
              <w:rPr>
                <w:i/>
                <w:noProof/>
              </w:rPr>
              <w:t>Не установлено</w:t>
            </w:r>
          </w:p>
          <w:p w:rsidR="00911D6B" w:rsidRPr="00000F81" w:rsidRDefault="00911D6B" w:rsidP="00911D6B"/>
          <w:p w:rsidR="00911D6B" w:rsidRPr="00000F81" w:rsidRDefault="00911D6B" w:rsidP="00911D6B"/>
          <w:p w:rsidR="00911D6B" w:rsidRPr="00000F81" w:rsidRDefault="00911D6B" w:rsidP="00911D6B">
            <w:pPr>
              <w:autoSpaceDE w:val="0"/>
              <w:autoSpaceDN w:val="0"/>
              <w:adjustRightInd w:val="0"/>
            </w:pPr>
            <w:r w:rsidRPr="00000F81">
              <w:t xml:space="preserve"> </w:t>
            </w:r>
          </w:p>
        </w:tc>
      </w:tr>
      <w:tr w:rsidR="00911D6B" w:rsidRPr="00000F81" w:rsidTr="005320BE">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noProof/>
              </w:rPr>
            </w:pPr>
            <w:r w:rsidRPr="00000F81">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rPr>
                <w:i/>
                <w:noProof/>
              </w:rPr>
            </w:pPr>
            <w:r w:rsidRPr="00000F81">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5D0539" w:rsidRPr="00000F81">
              <w:rPr>
                <w:i/>
                <w:noProof/>
              </w:rPr>
              <w:t xml:space="preserve">закупках товаров, работ, услуг </w:t>
            </w:r>
            <w:r w:rsidRPr="00000F81">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B343FB" w:rsidRPr="00000F81" w:rsidTr="005320BE">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i/>
                <w:noProof/>
              </w:rPr>
            </w:pPr>
            <w:r w:rsidRPr="00000F81">
              <w:rPr>
                <w:i/>
                <w:noProof/>
              </w:rPr>
              <w:t xml:space="preserve">Установлено.  </w:t>
            </w:r>
          </w:p>
          <w:p w:rsidR="00B343FB" w:rsidRPr="00000F81" w:rsidRDefault="00B343FB" w:rsidP="00B343FB">
            <w:pPr>
              <w:autoSpaceDE w:val="0"/>
              <w:autoSpaceDN w:val="0"/>
              <w:jc w:val="both"/>
              <w:rPr>
                <w:rFonts w:eastAsia="Calibri"/>
                <w:i/>
                <w:lang w:eastAsia="en-US"/>
              </w:rPr>
            </w:pPr>
            <w:r w:rsidRPr="00000F81">
              <w:rPr>
                <w:rFonts w:eastAsia="Calibri"/>
                <w:i/>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B343FB" w:rsidRPr="00000F81" w:rsidTr="005320BE">
        <w:tc>
          <w:tcPr>
            <w:tcW w:w="513"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B343FB" w:rsidRPr="00000F81" w:rsidRDefault="00B343FB" w:rsidP="00B343FB">
            <w:pPr>
              <w:rPr>
                <w:noProof/>
              </w:rPr>
            </w:pPr>
            <w:r w:rsidRPr="00000F81">
              <w:rPr>
                <w:noProof/>
              </w:rPr>
              <w:t>350039, РФ, г. Краснодар, ул. Мирный проезд, 4/1 ООО «РКС», 8 (861) 298 10 67</w:t>
            </w:r>
          </w:p>
        </w:tc>
      </w:tr>
      <w:tr w:rsidR="000503C5" w:rsidRPr="00000F81" w:rsidTr="00954A31">
        <w:trPr>
          <w:trHeight w:val="469"/>
        </w:trPr>
        <w:tc>
          <w:tcPr>
            <w:tcW w:w="513"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rPr>
                <w:noProof/>
              </w:rPr>
            </w:pPr>
            <w:r w:rsidRPr="00000F81">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vAlign w:val="center"/>
          </w:tcPr>
          <w:p w:rsidR="000503C5" w:rsidRPr="00A24FF4" w:rsidRDefault="000503C5" w:rsidP="000503C5">
            <w:pPr>
              <w:spacing w:line="276" w:lineRule="auto"/>
              <w:rPr>
                <w:sz w:val="23"/>
                <w:szCs w:val="23"/>
              </w:rPr>
            </w:pPr>
            <w:r w:rsidRPr="00A24FF4">
              <w:rPr>
                <w:sz w:val="23"/>
                <w:szCs w:val="23"/>
              </w:rPr>
              <w:t xml:space="preserve">08-00  </w:t>
            </w:r>
            <w:r>
              <w:rPr>
                <w:sz w:val="23"/>
                <w:szCs w:val="23"/>
              </w:rPr>
              <w:t>16</w:t>
            </w:r>
            <w:r w:rsidRPr="00A24FF4">
              <w:rPr>
                <w:sz w:val="23"/>
                <w:szCs w:val="23"/>
              </w:rPr>
              <w:t>.02.2018 г.</w:t>
            </w:r>
          </w:p>
        </w:tc>
      </w:tr>
      <w:tr w:rsidR="000503C5" w:rsidRPr="00000F81" w:rsidTr="00954A31">
        <w:trPr>
          <w:trHeight w:val="617"/>
        </w:trPr>
        <w:tc>
          <w:tcPr>
            <w:tcW w:w="513"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rPr>
                <w:noProof/>
              </w:rPr>
            </w:pPr>
            <w:r w:rsidRPr="00000F81">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vAlign w:val="center"/>
          </w:tcPr>
          <w:p w:rsidR="000503C5" w:rsidRPr="00A24FF4" w:rsidRDefault="000503C5" w:rsidP="000503C5">
            <w:pPr>
              <w:rPr>
                <w:sz w:val="23"/>
                <w:szCs w:val="23"/>
              </w:rPr>
            </w:pPr>
            <w:r w:rsidRPr="00A24FF4">
              <w:rPr>
                <w:sz w:val="23"/>
                <w:szCs w:val="23"/>
              </w:rPr>
              <w:t xml:space="preserve">12-00 </w:t>
            </w:r>
            <w:r>
              <w:rPr>
                <w:sz w:val="23"/>
                <w:szCs w:val="23"/>
              </w:rPr>
              <w:t>22</w:t>
            </w:r>
            <w:r w:rsidRPr="00A24FF4">
              <w:rPr>
                <w:sz w:val="23"/>
                <w:szCs w:val="23"/>
              </w:rPr>
              <w:t>.02.201</w:t>
            </w:r>
            <w:bookmarkStart w:id="2" w:name="_GoBack"/>
            <w:bookmarkEnd w:id="2"/>
            <w:r w:rsidRPr="00A24FF4">
              <w:rPr>
                <w:sz w:val="23"/>
                <w:szCs w:val="23"/>
              </w:rPr>
              <w:t>8 г.</w:t>
            </w:r>
          </w:p>
        </w:tc>
      </w:tr>
      <w:tr w:rsidR="000503C5" w:rsidRPr="00000F81" w:rsidTr="005320BE">
        <w:tc>
          <w:tcPr>
            <w:tcW w:w="513"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rPr>
                <w:noProof/>
              </w:rPr>
            </w:pPr>
            <w:r w:rsidRPr="00000F81">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0503C5" w:rsidRPr="00A24FF4" w:rsidRDefault="000503C5" w:rsidP="000503C5">
            <w:pPr>
              <w:rPr>
                <w:sz w:val="23"/>
                <w:szCs w:val="23"/>
              </w:rPr>
            </w:pPr>
            <w:r w:rsidRPr="00A24FF4">
              <w:rPr>
                <w:sz w:val="23"/>
                <w:szCs w:val="23"/>
              </w:rPr>
              <w:t xml:space="preserve">до 12-00 </w:t>
            </w:r>
            <w:r>
              <w:rPr>
                <w:sz w:val="23"/>
                <w:szCs w:val="23"/>
              </w:rPr>
              <w:t>26</w:t>
            </w:r>
            <w:r w:rsidRPr="00A24FF4">
              <w:rPr>
                <w:sz w:val="23"/>
                <w:szCs w:val="23"/>
              </w:rPr>
              <w:t>.02.2018 года</w:t>
            </w:r>
          </w:p>
        </w:tc>
      </w:tr>
      <w:tr w:rsidR="000503C5" w:rsidRPr="00000F81" w:rsidTr="00000F81">
        <w:trPr>
          <w:trHeight w:val="369"/>
        </w:trPr>
        <w:tc>
          <w:tcPr>
            <w:tcW w:w="513"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0503C5" w:rsidRPr="00000F81" w:rsidRDefault="000503C5" w:rsidP="000503C5">
            <w:pPr>
              <w:rPr>
                <w:noProof/>
              </w:rPr>
            </w:pPr>
            <w:r w:rsidRPr="00000F81">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0503C5" w:rsidRPr="00A24FF4" w:rsidRDefault="000503C5" w:rsidP="000503C5">
            <w:pPr>
              <w:autoSpaceDE w:val="0"/>
              <w:autoSpaceDN w:val="0"/>
              <w:adjustRightInd w:val="0"/>
              <w:outlineLvl w:val="1"/>
              <w:rPr>
                <w:sz w:val="23"/>
                <w:szCs w:val="23"/>
              </w:rPr>
            </w:pPr>
            <w:r w:rsidRPr="00A24FF4">
              <w:rPr>
                <w:sz w:val="23"/>
                <w:szCs w:val="23"/>
              </w:rPr>
              <w:t xml:space="preserve">до 14-00 </w:t>
            </w:r>
            <w:r>
              <w:rPr>
                <w:sz w:val="23"/>
                <w:szCs w:val="23"/>
              </w:rPr>
              <w:t>26</w:t>
            </w:r>
            <w:r w:rsidRPr="00A24FF4">
              <w:rPr>
                <w:sz w:val="23"/>
                <w:szCs w:val="23"/>
              </w:rPr>
              <w:t>.02.2018 года</w:t>
            </w:r>
          </w:p>
        </w:tc>
      </w:tr>
      <w:tr w:rsidR="00911D6B" w:rsidRPr="00000F81" w:rsidTr="00000F81">
        <w:trPr>
          <w:trHeight w:val="3270"/>
        </w:trPr>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r w:rsidRPr="00000F81">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autoSpaceDE w:val="0"/>
              <w:autoSpaceDN w:val="0"/>
              <w:adjustRightInd w:val="0"/>
              <w:outlineLvl w:val="1"/>
              <w:rPr>
                <w:i/>
              </w:rPr>
            </w:pPr>
            <w:r w:rsidRPr="00000F81">
              <w:rPr>
                <w:i/>
              </w:rPr>
              <w:t xml:space="preserve">В ходе исполнения договора, заключенного по результатам закупки, </w:t>
            </w:r>
            <w:r w:rsidR="00EB162B" w:rsidRPr="00000F81">
              <w:rPr>
                <w:i/>
              </w:rPr>
              <w:t>стороны вправе</w:t>
            </w:r>
            <w:r w:rsidRPr="00000F81">
              <w:rPr>
                <w:i/>
              </w:rPr>
              <w:t xml:space="preserve"> договориться об изменении объема, цены закупаемых товаров, работ, услуг или сроков исполнения договора по сравнению с </w:t>
            </w:r>
            <w:r w:rsidR="00000F81" w:rsidRPr="00000F81">
              <w:rPr>
                <w:i/>
              </w:rPr>
              <w:t>указанными документации</w:t>
            </w:r>
            <w:r w:rsidRPr="00000F81">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74A79" w:rsidRPr="00000F81" w:rsidTr="005320BE">
        <w:tc>
          <w:tcPr>
            <w:tcW w:w="513" w:type="pct"/>
            <w:tcBorders>
              <w:top w:val="single" w:sz="4" w:space="0" w:color="auto"/>
              <w:left w:val="single" w:sz="4" w:space="0" w:color="auto"/>
              <w:bottom w:val="single" w:sz="4" w:space="0" w:color="auto"/>
              <w:right w:val="single" w:sz="4" w:space="0" w:color="auto"/>
            </w:tcBorders>
          </w:tcPr>
          <w:p w:rsidR="00974A79" w:rsidRPr="00000F81" w:rsidRDefault="00974A79" w:rsidP="00974A7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4A79" w:rsidRPr="00000F81" w:rsidRDefault="00974A79" w:rsidP="00974A79">
            <w:r w:rsidRPr="00000F81">
              <w:t xml:space="preserve">Перечень документов, подтверждающее соответствие товара, работ, услуг требованиям, установленным в соответствии с законодательством Российской </w:t>
            </w:r>
            <w:r w:rsidRPr="00000F81">
              <w:lastRenderedPageBreak/>
              <w:t xml:space="preserve">Федерации, квалификационные требования </w:t>
            </w:r>
          </w:p>
        </w:tc>
        <w:tc>
          <w:tcPr>
            <w:tcW w:w="2472" w:type="pct"/>
            <w:tcBorders>
              <w:top w:val="single" w:sz="4" w:space="0" w:color="auto"/>
              <w:left w:val="single" w:sz="4" w:space="0" w:color="auto"/>
              <w:bottom w:val="single" w:sz="4" w:space="0" w:color="auto"/>
              <w:right w:val="single" w:sz="4" w:space="0" w:color="auto"/>
            </w:tcBorders>
          </w:tcPr>
          <w:p w:rsidR="00974A79" w:rsidRPr="00000F81" w:rsidRDefault="00C5746B" w:rsidP="00974A79">
            <w:pPr>
              <w:autoSpaceDE w:val="0"/>
              <w:autoSpaceDN w:val="0"/>
              <w:adjustRightInd w:val="0"/>
              <w:outlineLvl w:val="1"/>
              <w:rPr>
                <w:i/>
              </w:rPr>
            </w:pPr>
            <w:r w:rsidRPr="009A19D3">
              <w:rPr>
                <w:i/>
                <w:sz w:val="23"/>
                <w:szCs w:val="23"/>
              </w:rPr>
              <w:lastRenderedPageBreak/>
              <w:t xml:space="preserve">Подрядчик должен соответствовать требованиям действующего законодательства, в части выполнения строительно – монтажных работ, а также обязан соблюдать требования закона о </w:t>
            </w:r>
            <w:r w:rsidRPr="009A19D3">
              <w:rPr>
                <w:i/>
                <w:sz w:val="23"/>
                <w:szCs w:val="23"/>
              </w:rPr>
              <w:lastRenderedPageBreak/>
              <w:t>промышленной безопасности опасных, производственных объектов.</w:t>
            </w:r>
          </w:p>
        </w:tc>
      </w:tr>
      <w:tr w:rsidR="00974A79" w:rsidRPr="00000F81"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74A79" w:rsidRPr="00000F81" w:rsidRDefault="00974A79" w:rsidP="00974A7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74A79" w:rsidRPr="00000F81" w:rsidRDefault="00974A79" w:rsidP="00C5746B">
            <w:pPr>
              <w:jc w:val="both"/>
              <w:rPr>
                <w:noProof/>
              </w:rPr>
            </w:pPr>
            <w:r w:rsidRPr="00000F81">
              <w:rPr>
                <w:noProof/>
              </w:rPr>
              <w:t xml:space="preserve">Срок, в течение которого победитель открытого запроса предложений (или иной участник, с которым заключается контракт при уклонении победителя от заключения контракта)  должен подписать контракт </w:t>
            </w:r>
          </w:p>
        </w:tc>
        <w:tc>
          <w:tcPr>
            <w:tcW w:w="2472" w:type="pct"/>
            <w:tcBorders>
              <w:top w:val="single" w:sz="4" w:space="0" w:color="auto"/>
              <w:left w:val="single" w:sz="4" w:space="0" w:color="auto"/>
              <w:bottom w:val="single" w:sz="4" w:space="0" w:color="auto"/>
              <w:right w:val="single" w:sz="4" w:space="0" w:color="auto"/>
            </w:tcBorders>
            <w:vAlign w:val="center"/>
          </w:tcPr>
          <w:p w:rsidR="00974A79" w:rsidRPr="00000F81" w:rsidRDefault="00974A79" w:rsidP="00974A79">
            <w:pPr>
              <w:rPr>
                <w:bCs/>
              </w:rPr>
            </w:pPr>
            <w:r w:rsidRPr="00000F81">
              <w:rPr>
                <w:bCs/>
              </w:rPr>
              <w:t>Подписанный со стороны участника запроса предложений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RPr="00000F81"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jc w:val="both"/>
              <w:rPr>
                <w:noProof/>
              </w:rPr>
            </w:pPr>
            <w:r w:rsidRPr="00000F81">
              <w:t xml:space="preserve">Порядок предоставления участником открытого запроса предложений </w:t>
            </w:r>
            <w:r w:rsidR="00EB162B" w:rsidRPr="00000F81">
              <w:t>заполненных приложений</w:t>
            </w:r>
            <w:r w:rsidRPr="00000F81">
              <w:t xml:space="preserve"> к договору (сметной документации, спецификаций, и.т.д.)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00F81" w:rsidRDefault="00911D6B" w:rsidP="00911D6B">
            <w:pPr>
              <w:rPr>
                <w:bCs/>
              </w:rPr>
            </w:pPr>
            <w:r w:rsidRPr="00000F81">
              <w:rPr>
                <w:bCs/>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p>
        </w:tc>
      </w:tr>
      <w:tr w:rsidR="00911D6B" w:rsidRPr="00000F81"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000F81" w:rsidRDefault="00911D6B" w:rsidP="00911D6B">
            <w:pPr>
              <w:keepLines/>
              <w:suppressLineNumbers/>
              <w:suppressAutoHyphens/>
            </w:pPr>
            <w:r w:rsidRPr="00000F81">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00F81" w:rsidRDefault="00911D6B" w:rsidP="00911D6B">
            <w:pPr>
              <w:tabs>
                <w:tab w:val="left" w:pos="285"/>
                <w:tab w:val="center" w:pos="1805"/>
              </w:tabs>
            </w:pPr>
            <w:r w:rsidRPr="00000F81">
              <w:t xml:space="preserve">Дата начала срока предоставления разъяснений </w:t>
            </w:r>
            <w:r w:rsidR="00EB162B" w:rsidRPr="00000F81">
              <w:t>– с</w:t>
            </w:r>
            <w:r w:rsidRPr="00000F81">
              <w:t xml:space="preserve"> даты начала подачи заявок на открытый запрос предложений. </w:t>
            </w:r>
          </w:p>
          <w:p w:rsidR="00911D6B" w:rsidRPr="00000F81" w:rsidRDefault="00911D6B" w:rsidP="00911D6B">
            <w:pPr>
              <w:tabs>
                <w:tab w:val="left" w:pos="285"/>
                <w:tab w:val="center" w:pos="1805"/>
              </w:tabs>
            </w:pPr>
            <w:r w:rsidRPr="00000F81">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000F81" w:rsidRDefault="00EB162B" w:rsidP="00911D6B">
            <w:pPr>
              <w:suppressAutoHyphens/>
              <w:jc w:val="both"/>
              <w:rPr>
                <w:lang w:eastAsia="ar-SA"/>
              </w:rPr>
            </w:pPr>
            <w:r w:rsidRPr="00000F81">
              <w:rPr>
                <w:lang w:eastAsia="ar-SA"/>
              </w:rPr>
              <w:t>Разъяснения положений</w:t>
            </w:r>
            <w:r w:rsidR="00911D6B" w:rsidRPr="00000F81">
              <w:rPr>
                <w:lang w:eastAsia="ar-SA"/>
              </w:rPr>
              <w:t xml:space="preserve"> документации о запросе предложений размещаются Организатором на официальном сайте не </w:t>
            </w:r>
            <w:r w:rsidRPr="00000F81">
              <w:rPr>
                <w:lang w:eastAsia="ar-SA"/>
              </w:rPr>
              <w:t>позднее чем</w:t>
            </w:r>
            <w:r w:rsidR="00911D6B" w:rsidRPr="00000F81">
              <w:rPr>
                <w:lang w:eastAsia="ar-SA"/>
              </w:rPr>
              <w:t xml:space="preserve"> в течение 3 (трех) календарных дней со дня </w:t>
            </w:r>
            <w:r w:rsidRPr="00000F81">
              <w:rPr>
                <w:lang w:eastAsia="ar-SA"/>
              </w:rPr>
              <w:t>предоставления указанных</w:t>
            </w:r>
            <w:r w:rsidR="00911D6B" w:rsidRPr="00000F81">
              <w:rPr>
                <w:lang w:eastAsia="ar-SA"/>
              </w:rPr>
              <w:t xml:space="preserve"> разъяснений, но до истечения срока </w:t>
            </w:r>
            <w:r w:rsidRPr="00000F81">
              <w:rPr>
                <w:lang w:eastAsia="ar-SA"/>
              </w:rPr>
              <w:t>окончания приема</w:t>
            </w:r>
            <w:r w:rsidR="00911D6B" w:rsidRPr="00000F81">
              <w:rPr>
                <w:lang w:eastAsia="ar-SA"/>
              </w:rPr>
              <w:t xml:space="preserve"> </w:t>
            </w:r>
            <w:r w:rsidRPr="00000F81">
              <w:rPr>
                <w:lang w:eastAsia="ar-SA"/>
              </w:rPr>
              <w:t>заявок на</w:t>
            </w:r>
            <w:r w:rsidR="00911D6B" w:rsidRPr="00000F81">
              <w:rPr>
                <w:lang w:eastAsia="ar-SA"/>
              </w:rPr>
              <w:t xml:space="preserve"> участие в запросе предложений. </w:t>
            </w:r>
          </w:p>
        </w:tc>
      </w:tr>
    </w:tbl>
    <w:p w:rsidR="00315FC4" w:rsidRPr="00000F81" w:rsidRDefault="00315FC4" w:rsidP="005D0539">
      <w:pPr>
        <w:widowControl w:val="0"/>
        <w:tabs>
          <w:tab w:val="left" w:pos="1307"/>
        </w:tabs>
        <w:suppressAutoHyphens/>
        <w:ind w:firstLine="709"/>
        <w:jc w:val="center"/>
        <w:textAlignment w:val="baseline"/>
        <w:rPr>
          <w:b/>
          <w:lang w:eastAsia="ar-SA"/>
        </w:rPr>
      </w:pPr>
    </w:p>
    <w:p w:rsidR="0065318E" w:rsidRPr="00000F81" w:rsidRDefault="0065318E" w:rsidP="005D0539">
      <w:pPr>
        <w:widowControl w:val="0"/>
        <w:tabs>
          <w:tab w:val="left" w:pos="1307"/>
        </w:tabs>
        <w:suppressAutoHyphens/>
        <w:ind w:firstLine="709"/>
        <w:jc w:val="center"/>
        <w:textAlignment w:val="baseline"/>
        <w:rPr>
          <w:b/>
          <w:lang w:eastAsia="ar-SA"/>
        </w:rPr>
      </w:pPr>
      <w:r w:rsidRPr="00000F81">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65318E" w:rsidRPr="00000F81" w:rsidTr="000B5C06">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65318E" w:rsidRPr="00000F81" w:rsidRDefault="0065318E" w:rsidP="000B5C06">
            <w:pPr>
              <w:suppressAutoHyphens/>
              <w:snapToGrid w:val="0"/>
              <w:textAlignment w:val="baseline"/>
              <w:rPr>
                <w:rFonts w:eastAsia="Arial Unicode MS"/>
                <w:b/>
                <w:bCs/>
                <w:kern w:val="1"/>
                <w:lang w:eastAsia="hi-IN" w:bidi="hi-IN"/>
              </w:rPr>
            </w:pPr>
            <w:r w:rsidRPr="00000F81">
              <w:rPr>
                <w:rFonts w:eastAsia="Arial Unicode MS"/>
                <w:b/>
                <w:bCs/>
                <w:kern w:val="1"/>
                <w:lang w:eastAsia="hi-IN" w:bidi="hi-IN"/>
              </w:rPr>
              <w:t>Критерии</w:t>
            </w:r>
          </w:p>
        </w:tc>
      </w:tr>
      <w:tr w:rsidR="0065318E" w:rsidRPr="00000F81" w:rsidTr="000B5C0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65318E" w:rsidRPr="00000F81" w:rsidRDefault="005F5443" w:rsidP="000B5C06">
            <w:pPr>
              <w:autoSpaceDE w:val="0"/>
              <w:autoSpaceDN w:val="0"/>
              <w:adjustRightInd w:val="0"/>
              <w:snapToGrid w:val="0"/>
              <w:jc w:val="both"/>
              <w:rPr>
                <w:b/>
              </w:rPr>
            </w:pPr>
            <w:r w:rsidRPr="00000F81">
              <w:rPr>
                <w:b/>
              </w:rPr>
              <w:t>1.Цена договора – 2</w:t>
            </w:r>
            <w:r w:rsidR="0065318E" w:rsidRPr="00000F81">
              <w:rPr>
                <w:b/>
              </w:rPr>
              <w:t>0%</w:t>
            </w:r>
          </w:p>
        </w:tc>
      </w:tr>
      <w:tr w:rsidR="0065318E" w:rsidRPr="00000F81" w:rsidTr="000B5C0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65318E" w:rsidRPr="00000F81" w:rsidRDefault="0065318E" w:rsidP="0065318E">
            <w:pPr>
              <w:widowControl w:val="0"/>
              <w:numPr>
                <w:ilvl w:val="1"/>
                <w:numId w:val="16"/>
              </w:numPr>
              <w:suppressAutoHyphens/>
              <w:autoSpaceDE w:val="0"/>
              <w:autoSpaceDN w:val="0"/>
              <w:snapToGrid w:val="0"/>
              <w:jc w:val="both"/>
              <w:textAlignment w:val="baseline"/>
            </w:pPr>
            <w:r w:rsidRPr="00000F81">
              <w:t>Начальная (максимальная) цена договора</w:t>
            </w:r>
          </w:p>
          <w:p w:rsidR="0065318E" w:rsidRPr="00000F81" w:rsidRDefault="0065318E" w:rsidP="000B5C06">
            <w:pPr>
              <w:suppressAutoHyphens/>
              <w:rPr>
                <w:lang w:eastAsia="ar-SA"/>
              </w:rPr>
            </w:pPr>
            <w:r w:rsidRPr="00000F81">
              <w:rPr>
                <w:lang w:eastAsia="ar-SA"/>
              </w:rPr>
              <w:t xml:space="preserve">Рейтинг, присуждаемый заявке по критерию </w:t>
            </w:r>
            <w:r w:rsidRPr="00000F81">
              <w:rPr>
                <w:b/>
                <w:i/>
                <w:lang w:eastAsia="ar-SA"/>
              </w:rPr>
              <w:t>"цена договора"</w:t>
            </w:r>
            <w:r w:rsidRPr="00000F81">
              <w:rPr>
                <w:lang w:eastAsia="ar-SA"/>
              </w:rPr>
              <w:t xml:space="preserve"> ("цена договора за </w:t>
            </w:r>
            <w:r w:rsidR="00EB162B" w:rsidRPr="00000F81">
              <w:rPr>
                <w:lang w:eastAsia="ar-SA"/>
              </w:rPr>
              <w:t>единицу услуги</w:t>
            </w:r>
            <w:r w:rsidRPr="00000F81">
              <w:rPr>
                <w:lang w:eastAsia="ar-SA"/>
              </w:rPr>
              <w:t>"), определяется по формуле:</w:t>
            </w:r>
          </w:p>
          <w:p w:rsidR="0065318E" w:rsidRPr="00000F81" w:rsidRDefault="0065318E" w:rsidP="000B5C06">
            <w:pPr>
              <w:suppressAutoHyphens/>
              <w:rPr>
                <w:lang w:eastAsia="ar-SA"/>
              </w:rPr>
            </w:pPr>
          </w:p>
          <w:p w:rsidR="0065318E" w:rsidRPr="00000F81" w:rsidRDefault="009A2AA2" w:rsidP="000B5C06">
            <w:pPr>
              <w:suppressAutoHyphens/>
              <w:rPr>
                <w:lang w:eastAsia="ar-SA"/>
              </w:rPr>
            </w:pPr>
            <w:r w:rsidRPr="00000F81">
              <w:rPr>
                <w:noProof/>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65318E" w:rsidRPr="00000F81">
              <w:rPr>
                <w:lang w:eastAsia="ar-SA"/>
              </w:rPr>
              <w:t>,</w:t>
            </w:r>
          </w:p>
          <w:p w:rsidR="0065318E" w:rsidRPr="00000F81" w:rsidRDefault="0065318E" w:rsidP="000B5C06">
            <w:pPr>
              <w:suppressAutoHyphens/>
              <w:rPr>
                <w:lang w:eastAsia="ar-SA"/>
              </w:rPr>
            </w:pPr>
            <w:r w:rsidRPr="00000F81">
              <w:rPr>
                <w:lang w:eastAsia="ar-SA"/>
              </w:rPr>
              <w:t>где:</w:t>
            </w:r>
          </w:p>
          <w:p w:rsidR="0065318E" w:rsidRPr="00000F81" w:rsidRDefault="009A2AA2" w:rsidP="000B5C06">
            <w:pPr>
              <w:suppressAutoHyphens/>
              <w:rPr>
                <w:lang w:eastAsia="ar-SA"/>
              </w:rPr>
            </w:pPr>
            <w:r w:rsidRPr="00000F81">
              <w:rPr>
                <w:noProof/>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65318E" w:rsidRPr="00000F81">
              <w:rPr>
                <w:lang w:eastAsia="ar-SA"/>
              </w:rPr>
              <w:t> - рейтинг, присуждаемый i-й заявке по указанному критерию;</w:t>
            </w:r>
          </w:p>
          <w:p w:rsidR="0065318E" w:rsidRPr="00000F81" w:rsidRDefault="0065318E" w:rsidP="000B5C06">
            <w:pPr>
              <w:suppressAutoHyphens/>
              <w:rPr>
                <w:lang w:eastAsia="ar-SA"/>
              </w:rPr>
            </w:pPr>
            <w:r w:rsidRPr="00000F81">
              <w:rPr>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65318E" w:rsidRPr="00000F81" w:rsidRDefault="0065318E" w:rsidP="000B5C06">
            <w:pPr>
              <w:autoSpaceDE w:val="0"/>
              <w:autoSpaceDN w:val="0"/>
              <w:adjustRightInd w:val="0"/>
              <w:snapToGrid w:val="0"/>
              <w:jc w:val="both"/>
            </w:pPr>
            <w:r w:rsidRPr="00000F81">
              <w:lastRenderedPageBreak/>
              <w:t xml:space="preserve">Ai - предложение i-го участника конкурса по цене договора (по сумме цен за </w:t>
            </w:r>
            <w:r w:rsidR="00EB162B" w:rsidRPr="00000F81">
              <w:t>единицу услуги</w:t>
            </w:r>
            <w:r w:rsidRPr="00000F81">
              <w:t>).</w:t>
            </w:r>
          </w:p>
          <w:p w:rsidR="0065318E" w:rsidRPr="00000F81" w:rsidRDefault="0065318E" w:rsidP="000B5C06">
            <w:pPr>
              <w:autoSpaceDE w:val="0"/>
              <w:autoSpaceDN w:val="0"/>
              <w:adjustRightInd w:val="0"/>
              <w:snapToGrid w:val="0"/>
              <w:jc w:val="both"/>
              <w:rPr>
                <w:b/>
              </w:rPr>
            </w:pPr>
            <w:r w:rsidRPr="00000F81">
              <w:rPr>
                <w:b/>
              </w:rPr>
              <w:t xml:space="preserve">Для расчета итогового рейтинга по критерию, рейтинг, присуждаемый </w:t>
            </w:r>
            <w:r w:rsidRPr="00000F81">
              <w:rPr>
                <w:b/>
                <w:lang w:val="en-US"/>
              </w:rPr>
              <w:t>i</w:t>
            </w:r>
            <w:r w:rsidRPr="00000F81">
              <w:rPr>
                <w:b/>
              </w:rPr>
              <w:t>-й заявке по указанному критерию умножается на соответствующую ука</w:t>
            </w:r>
            <w:r w:rsidR="005F5443" w:rsidRPr="00000F81">
              <w:rPr>
                <w:b/>
              </w:rPr>
              <w:t>занному критерию значимость-0,2</w:t>
            </w:r>
            <w:r w:rsidRPr="00000F81">
              <w:rPr>
                <w:b/>
              </w:rPr>
              <w:t>0</w:t>
            </w:r>
          </w:p>
        </w:tc>
      </w:tr>
      <w:tr w:rsidR="0065318E" w:rsidRPr="00000F81" w:rsidTr="000B5C0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65318E" w:rsidRPr="00000F81" w:rsidRDefault="0065318E" w:rsidP="0065318E">
            <w:pPr>
              <w:numPr>
                <w:ilvl w:val="0"/>
                <w:numId w:val="16"/>
              </w:numPr>
              <w:autoSpaceDE w:val="0"/>
              <w:autoSpaceDN w:val="0"/>
              <w:adjustRightInd w:val="0"/>
              <w:snapToGrid w:val="0"/>
              <w:jc w:val="both"/>
              <w:rPr>
                <w:b/>
              </w:rPr>
            </w:pPr>
            <w:r w:rsidRPr="00000F81">
              <w:rPr>
                <w:b/>
              </w:rPr>
              <w:lastRenderedPageBreak/>
              <w:t xml:space="preserve">Квалификация участника открытого запроса </w:t>
            </w:r>
            <w:r w:rsidR="00EB162B" w:rsidRPr="00000F81">
              <w:rPr>
                <w:b/>
              </w:rPr>
              <w:t>предложений –</w:t>
            </w:r>
            <w:r w:rsidR="005F5443" w:rsidRPr="00000F81">
              <w:rPr>
                <w:b/>
              </w:rPr>
              <w:t xml:space="preserve"> 8</w:t>
            </w:r>
            <w:r w:rsidRPr="00000F81">
              <w:rPr>
                <w:b/>
              </w:rPr>
              <w:t>0%</w:t>
            </w:r>
          </w:p>
        </w:tc>
      </w:tr>
      <w:tr w:rsidR="0065318E" w:rsidRPr="00000F81" w:rsidTr="000B5C06">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74A79" w:rsidRPr="00000F81" w:rsidRDefault="00974A79" w:rsidP="00974A79">
            <w:pPr>
              <w:suppressAutoHyphens/>
              <w:autoSpaceDE w:val="0"/>
              <w:autoSpaceDN w:val="0"/>
              <w:adjustRightInd w:val="0"/>
              <w:rPr>
                <w:lang w:eastAsia="ar-SA"/>
              </w:rPr>
            </w:pPr>
            <w:r w:rsidRPr="00000F81">
              <w:rPr>
                <w:lang w:eastAsia="ar-SA"/>
              </w:rPr>
              <w:t xml:space="preserve">2.1. </w:t>
            </w:r>
            <w:r w:rsidRPr="00000F81">
              <w:rPr>
                <w:b/>
                <w:lang w:eastAsia="ar-SA"/>
              </w:rPr>
              <w:t xml:space="preserve">Наличие опыта выполнения работ, оказания </w:t>
            </w:r>
            <w:r w:rsidR="00EB162B" w:rsidRPr="00000F81">
              <w:rPr>
                <w:b/>
                <w:lang w:eastAsia="ar-SA"/>
              </w:rPr>
              <w:t>услуг:</w:t>
            </w:r>
          </w:p>
          <w:p w:rsidR="00974A79" w:rsidRPr="00000F81" w:rsidRDefault="00974A79" w:rsidP="00974A79">
            <w:pPr>
              <w:suppressAutoHyphens/>
              <w:autoSpaceDE w:val="0"/>
              <w:autoSpaceDN w:val="0"/>
              <w:adjustRightInd w:val="0"/>
              <w:rPr>
                <w:lang w:eastAsia="ar-SA"/>
              </w:rPr>
            </w:pPr>
            <w:r w:rsidRPr="00000F81">
              <w:rPr>
                <w:lang w:eastAsia="ar-SA"/>
              </w:rPr>
              <w:t xml:space="preserve">     от 3 лет и </w:t>
            </w:r>
            <w:r w:rsidR="00EB162B" w:rsidRPr="00000F81">
              <w:rPr>
                <w:lang w:eastAsia="ar-SA"/>
              </w:rPr>
              <w:t>более –</w:t>
            </w:r>
            <w:r w:rsidRPr="00000F81">
              <w:rPr>
                <w:lang w:eastAsia="ar-SA"/>
              </w:rPr>
              <w:t xml:space="preserve"> 10 баллов</w:t>
            </w:r>
          </w:p>
          <w:p w:rsidR="00974A79" w:rsidRPr="00000F81" w:rsidRDefault="00974A79" w:rsidP="00974A79">
            <w:pPr>
              <w:suppressAutoHyphens/>
              <w:autoSpaceDE w:val="0"/>
              <w:autoSpaceDN w:val="0"/>
              <w:adjustRightInd w:val="0"/>
              <w:rPr>
                <w:lang w:eastAsia="ar-SA"/>
              </w:rPr>
            </w:pPr>
            <w:r w:rsidRPr="00000F81">
              <w:rPr>
                <w:lang w:eastAsia="ar-SA"/>
              </w:rPr>
              <w:t xml:space="preserve">     от 1 до 3 лет – 5 баллов</w:t>
            </w:r>
          </w:p>
          <w:p w:rsidR="00974A79" w:rsidRPr="00000F81" w:rsidRDefault="00974A79" w:rsidP="00974A79">
            <w:pPr>
              <w:suppressAutoHyphens/>
              <w:autoSpaceDE w:val="0"/>
              <w:autoSpaceDN w:val="0"/>
              <w:adjustRightInd w:val="0"/>
              <w:rPr>
                <w:lang w:eastAsia="ar-SA"/>
              </w:rPr>
            </w:pPr>
            <w:r w:rsidRPr="00000F81">
              <w:rPr>
                <w:lang w:eastAsia="ar-SA"/>
              </w:rPr>
              <w:t xml:space="preserve">      Менее 1 года – 0 баллов</w:t>
            </w:r>
          </w:p>
          <w:p w:rsidR="00974A79" w:rsidRPr="00000F81" w:rsidRDefault="00974A79" w:rsidP="00974A79">
            <w:pPr>
              <w:suppressAutoHyphens/>
              <w:rPr>
                <w:b/>
                <w:lang w:eastAsia="ar-SA"/>
              </w:rPr>
            </w:pPr>
            <w:r w:rsidRPr="00000F81">
              <w:rPr>
                <w:b/>
                <w:lang w:eastAsia="ar-SA"/>
              </w:rPr>
              <w:t xml:space="preserve">Подтверждающие документы: </w:t>
            </w:r>
            <w:r w:rsidRPr="00000F81">
              <w:rPr>
                <w:lang w:eastAsia="ar-SA"/>
              </w:rPr>
              <w:t>Копии договоров, актов выполненных работ за последние 3 года.</w:t>
            </w:r>
          </w:p>
          <w:p w:rsidR="00974A79" w:rsidRPr="00000F81" w:rsidRDefault="00974A79" w:rsidP="00974A79">
            <w:pPr>
              <w:suppressAutoHyphens/>
              <w:rPr>
                <w:b/>
                <w:lang w:eastAsia="ar-SA"/>
              </w:rPr>
            </w:pPr>
          </w:p>
          <w:p w:rsidR="00974A79" w:rsidRPr="00000F81" w:rsidRDefault="00974A79" w:rsidP="00974A79">
            <w:pPr>
              <w:suppressAutoHyphens/>
              <w:rPr>
                <w:b/>
                <w:lang w:eastAsia="ar-SA"/>
              </w:rPr>
            </w:pPr>
            <w:r w:rsidRPr="00000F81">
              <w:rPr>
                <w:b/>
                <w:lang w:eastAsia="ar-SA"/>
              </w:rPr>
              <w:t>2.2. Наличие финансовых ресурсов</w:t>
            </w:r>
            <w:r w:rsidRPr="00000F81">
              <w:t xml:space="preserve"> (</w:t>
            </w:r>
            <w:r w:rsidRPr="00000F81">
              <w:rPr>
                <w:b/>
                <w:lang w:eastAsia="ar-SA"/>
              </w:rPr>
              <w:t xml:space="preserve">Размер оплаченного уставного капитала участника размещения </w:t>
            </w:r>
            <w:r w:rsidR="00EB162B" w:rsidRPr="00000F81">
              <w:rPr>
                <w:b/>
                <w:lang w:eastAsia="ar-SA"/>
              </w:rPr>
              <w:t>заказа (</w:t>
            </w:r>
            <w:r w:rsidRPr="00000F81">
              <w:rPr>
                <w:b/>
                <w:lang w:eastAsia="ar-SA"/>
              </w:rPr>
              <w:t>на дату объявления открытого запроса предложений)</w:t>
            </w:r>
          </w:p>
          <w:p w:rsidR="00974A79" w:rsidRPr="00000F81" w:rsidRDefault="00974A79" w:rsidP="00974A79">
            <w:pPr>
              <w:suppressAutoHyphens/>
              <w:rPr>
                <w:lang w:eastAsia="ar-SA"/>
              </w:rPr>
            </w:pPr>
            <w:r w:rsidRPr="00000F81">
              <w:rPr>
                <w:lang w:eastAsia="ar-SA"/>
              </w:rPr>
              <w:t xml:space="preserve">- от 500 000 000,00 руб.  и более – </w:t>
            </w:r>
            <w:r w:rsidR="00EB162B" w:rsidRPr="00000F81">
              <w:rPr>
                <w:lang w:eastAsia="ar-SA"/>
              </w:rPr>
              <w:t>25 баллов</w:t>
            </w:r>
            <w:r w:rsidRPr="00000F81">
              <w:rPr>
                <w:lang w:eastAsia="ar-SA"/>
              </w:rPr>
              <w:t>;</w:t>
            </w:r>
          </w:p>
          <w:p w:rsidR="00974A79" w:rsidRPr="00000F81" w:rsidRDefault="00974A79" w:rsidP="00974A79">
            <w:pPr>
              <w:suppressAutoHyphens/>
              <w:rPr>
                <w:lang w:eastAsia="ar-SA"/>
              </w:rPr>
            </w:pPr>
            <w:r w:rsidRPr="00000F81">
              <w:rPr>
                <w:lang w:eastAsia="ar-SA"/>
              </w:rPr>
              <w:t>- от 200 000 000,00 руб.  до 500 000 000,00 руб. (включительно) – 1</w:t>
            </w:r>
            <w:r w:rsidR="003E5D7D" w:rsidRPr="00000F81">
              <w:rPr>
                <w:lang w:eastAsia="ar-SA"/>
              </w:rPr>
              <w:t>5</w:t>
            </w:r>
            <w:r w:rsidRPr="00000F81">
              <w:rPr>
                <w:lang w:eastAsia="ar-SA"/>
              </w:rPr>
              <w:t xml:space="preserve"> баллов;</w:t>
            </w:r>
          </w:p>
          <w:p w:rsidR="00974A79" w:rsidRPr="00000F81" w:rsidRDefault="00974A79" w:rsidP="00974A79">
            <w:pPr>
              <w:suppressAutoHyphens/>
              <w:rPr>
                <w:lang w:eastAsia="ar-SA"/>
              </w:rPr>
            </w:pPr>
            <w:r w:rsidRPr="00000F81">
              <w:rPr>
                <w:lang w:eastAsia="ar-SA"/>
              </w:rPr>
              <w:t xml:space="preserve">- от 10 000 000,00 руб.   до 200 000 000,00 руб. (включительно) – </w:t>
            </w:r>
            <w:r w:rsidR="003E5D7D" w:rsidRPr="00000F81">
              <w:rPr>
                <w:lang w:eastAsia="ar-SA"/>
              </w:rPr>
              <w:t>10</w:t>
            </w:r>
            <w:r w:rsidRPr="00000F81">
              <w:rPr>
                <w:lang w:eastAsia="ar-SA"/>
              </w:rPr>
              <w:t xml:space="preserve"> баллов;</w:t>
            </w:r>
          </w:p>
          <w:p w:rsidR="00974A79" w:rsidRPr="00000F81" w:rsidRDefault="00974A79" w:rsidP="00974A79">
            <w:pPr>
              <w:suppressAutoHyphens/>
              <w:rPr>
                <w:lang w:eastAsia="ar-SA"/>
              </w:rPr>
            </w:pPr>
            <w:r w:rsidRPr="00000F81">
              <w:rPr>
                <w:lang w:eastAsia="ar-SA"/>
              </w:rPr>
              <w:t>- до 10 000 000,00 руб. (включительно) – 1 балл.</w:t>
            </w:r>
          </w:p>
          <w:p w:rsidR="00974A79" w:rsidRPr="00000F81" w:rsidRDefault="00974A79" w:rsidP="00974A79">
            <w:pPr>
              <w:suppressAutoHyphens/>
              <w:rPr>
                <w:lang w:eastAsia="ar-SA"/>
              </w:rPr>
            </w:pPr>
            <w:r w:rsidRPr="00000F81">
              <w:rPr>
                <w:lang w:eastAsia="ar-SA"/>
              </w:rPr>
              <w:t>Подтверждающие документы: Копия Бухгалтерского баланса за последний отчетный период.</w:t>
            </w:r>
          </w:p>
          <w:p w:rsidR="00974A79" w:rsidRPr="00000F81" w:rsidRDefault="00974A79" w:rsidP="00974A79">
            <w:pPr>
              <w:suppressAutoHyphens/>
              <w:rPr>
                <w:lang w:eastAsia="ar-SA"/>
              </w:rPr>
            </w:pPr>
          </w:p>
          <w:p w:rsidR="00974A79" w:rsidRPr="00000F81" w:rsidRDefault="00974A79" w:rsidP="00974A79">
            <w:pPr>
              <w:suppressAutoHyphens/>
              <w:rPr>
                <w:b/>
                <w:lang w:eastAsia="ar-SA"/>
              </w:rPr>
            </w:pPr>
            <w:r w:rsidRPr="00000F81">
              <w:rPr>
                <w:b/>
                <w:lang w:eastAsia="ar-SA"/>
              </w:rPr>
              <w:t>2.</w:t>
            </w:r>
            <w:r w:rsidR="002D39BD" w:rsidRPr="00000F81">
              <w:rPr>
                <w:b/>
                <w:lang w:eastAsia="ar-SA"/>
              </w:rPr>
              <w:t>3</w:t>
            </w:r>
            <w:r w:rsidRPr="00000F81">
              <w:rPr>
                <w:b/>
                <w:lang w:eastAsia="ar-SA"/>
              </w:rPr>
              <w:t xml:space="preserve">. Наличие в </w:t>
            </w:r>
            <w:r w:rsidR="00EB162B" w:rsidRPr="00000F81">
              <w:rPr>
                <w:b/>
                <w:lang w:eastAsia="ar-SA"/>
              </w:rPr>
              <w:t>штате главных</w:t>
            </w:r>
            <w:r w:rsidRPr="00000F81">
              <w:rPr>
                <w:b/>
                <w:lang w:eastAsia="ar-SA"/>
              </w:rPr>
              <w:t xml:space="preserve"> специалистов по направлению:</w:t>
            </w:r>
          </w:p>
          <w:p w:rsidR="00974A79" w:rsidRPr="00000F81" w:rsidRDefault="00974A79" w:rsidP="00974A79">
            <w:pPr>
              <w:suppressAutoHyphens/>
              <w:rPr>
                <w:lang w:eastAsia="ar-SA"/>
              </w:rPr>
            </w:pPr>
            <w:r w:rsidRPr="00000F81">
              <w:rPr>
                <w:lang w:eastAsia="ar-SA"/>
              </w:rPr>
              <w:t xml:space="preserve">         - от 10 и более – 2</w:t>
            </w:r>
            <w:r w:rsidR="003E5D7D" w:rsidRPr="00000F81">
              <w:rPr>
                <w:lang w:eastAsia="ar-SA"/>
              </w:rPr>
              <w:t>5</w:t>
            </w:r>
            <w:r w:rsidRPr="00000F81">
              <w:rPr>
                <w:lang w:eastAsia="ar-SA"/>
              </w:rPr>
              <w:t xml:space="preserve"> баллов          </w:t>
            </w:r>
          </w:p>
          <w:p w:rsidR="00974A79" w:rsidRPr="00000F81" w:rsidRDefault="00974A79" w:rsidP="00974A79">
            <w:pPr>
              <w:suppressAutoHyphens/>
              <w:rPr>
                <w:lang w:eastAsia="ar-SA"/>
              </w:rPr>
            </w:pPr>
            <w:r w:rsidRPr="00000F81">
              <w:rPr>
                <w:lang w:eastAsia="ar-SA"/>
              </w:rPr>
              <w:t xml:space="preserve">         - менее 10 человек – </w:t>
            </w:r>
            <w:r w:rsidR="003E5D7D" w:rsidRPr="00000F81">
              <w:rPr>
                <w:lang w:eastAsia="ar-SA"/>
              </w:rPr>
              <w:t>1</w:t>
            </w:r>
            <w:r w:rsidRPr="00000F81">
              <w:rPr>
                <w:lang w:eastAsia="ar-SA"/>
              </w:rPr>
              <w:t>5 баллов</w:t>
            </w:r>
          </w:p>
          <w:p w:rsidR="00974A79" w:rsidRPr="00000F81" w:rsidRDefault="00974A79" w:rsidP="00974A79">
            <w:pPr>
              <w:suppressAutoHyphens/>
              <w:rPr>
                <w:lang w:eastAsia="ar-SA"/>
              </w:rPr>
            </w:pPr>
            <w:r w:rsidRPr="00000F81">
              <w:rPr>
                <w:lang w:eastAsia="ar-SA"/>
              </w:rPr>
              <w:t xml:space="preserve">         -</w:t>
            </w:r>
            <w:r w:rsidR="00EB162B" w:rsidRPr="00000F81">
              <w:rPr>
                <w:lang w:eastAsia="ar-SA"/>
              </w:rPr>
              <w:t>отсутствие –</w:t>
            </w:r>
            <w:r w:rsidRPr="00000F81">
              <w:rPr>
                <w:lang w:eastAsia="ar-SA"/>
              </w:rPr>
              <w:t xml:space="preserve"> 0 баллов</w:t>
            </w:r>
          </w:p>
          <w:p w:rsidR="00974A79" w:rsidRPr="00000F81" w:rsidRDefault="00974A79" w:rsidP="00974A79">
            <w:pPr>
              <w:suppressAutoHyphens/>
              <w:rPr>
                <w:b/>
                <w:lang w:eastAsia="ar-SA"/>
              </w:rPr>
            </w:pPr>
            <w:r w:rsidRPr="00000F81">
              <w:rPr>
                <w:b/>
                <w:lang w:eastAsia="ar-SA"/>
              </w:rPr>
              <w:t xml:space="preserve">Подтверждающие документы: </w:t>
            </w:r>
            <w:r w:rsidRPr="00000F81">
              <w:rPr>
                <w:lang w:eastAsia="ar-SA"/>
              </w:rPr>
              <w:t>копия трудовых книжек.</w:t>
            </w:r>
          </w:p>
          <w:p w:rsidR="00974A79" w:rsidRPr="00000F81" w:rsidRDefault="00974A79" w:rsidP="00974A79">
            <w:pPr>
              <w:suppressAutoHyphens/>
              <w:rPr>
                <w:b/>
                <w:lang w:eastAsia="ar-SA"/>
              </w:rPr>
            </w:pPr>
          </w:p>
          <w:p w:rsidR="00974A79" w:rsidRPr="00000F81" w:rsidRDefault="00974A79" w:rsidP="00974A79">
            <w:pPr>
              <w:suppressAutoHyphens/>
              <w:rPr>
                <w:b/>
                <w:lang w:eastAsia="ar-SA"/>
              </w:rPr>
            </w:pPr>
            <w:r w:rsidRPr="00000F81">
              <w:rPr>
                <w:b/>
                <w:lang w:eastAsia="ar-SA"/>
              </w:rPr>
              <w:t>2.</w:t>
            </w:r>
            <w:r w:rsidR="002D39BD" w:rsidRPr="00000F81">
              <w:rPr>
                <w:b/>
                <w:lang w:eastAsia="ar-SA"/>
              </w:rPr>
              <w:t>4</w:t>
            </w:r>
            <w:r w:rsidRPr="00000F81">
              <w:rPr>
                <w:b/>
                <w:lang w:eastAsia="ar-SA"/>
              </w:rPr>
              <w:t>. Организация должна самостоятельно выполнять сбор всех данных необходимых для реализации проекта:</w:t>
            </w:r>
          </w:p>
          <w:p w:rsidR="00974A79" w:rsidRPr="00000F81" w:rsidRDefault="00974A79" w:rsidP="00974A79">
            <w:pPr>
              <w:suppressAutoHyphens/>
              <w:rPr>
                <w:lang w:eastAsia="ar-SA"/>
              </w:rPr>
            </w:pPr>
            <w:r w:rsidRPr="00000F81">
              <w:rPr>
                <w:b/>
                <w:lang w:eastAsia="ar-SA"/>
              </w:rPr>
              <w:t xml:space="preserve"> </w:t>
            </w:r>
            <w:r w:rsidRPr="00000F81">
              <w:rPr>
                <w:lang w:eastAsia="ar-SA"/>
              </w:rPr>
              <w:t xml:space="preserve">Да – </w:t>
            </w:r>
            <w:r w:rsidR="003E5D7D" w:rsidRPr="00000F81">
              <w:rPr>
                <w:lang w:eastAsia="ar-SA"/>
              </w:rPr>
              <w:t>10</w:t>
            </w:r>
            <w:r w:rsidRPr="00000F81">
              <w:rPr>
                <w:lang w:eastAsia="ar-SA"/>
              </w:rPr>
              <w:t xml:space="preserve"> баллов</w:t>
            </w:r>
          </w:p>
          <w:p w:rsidR="00974A79" w:rsidRPr="00000F81" w:rsidRDefault="00974A79" w:rsidP="00974A79">
            <w:pPr>
              <w:suppressAutoHyphens/>
              <w:rPr>
                <w:lang w:eastAsia="ar-SA"/>
              </w:rPr>
            </w:pPr>
            <w:r w:rsidRPr="00000F81">
              <w:rPr>
                <w:lang w:eastAsia="ar-SA"/>
              </w:rPr>
              <w:t xml:space="preserve"> Нет – 0 баллов</w:t>
            </w:r>
          </w:p>
          <w:p w:rsidR="00974A79" w:rsidRPr="00000F81" w:rsidRDefault="00974A79" w:rsidP="00974A79">
            <w:pPr>
              <w:suppressAutoHyphens/>
              <w:rPr>
                <w:lang w:eastAsia="ar-SA"/>
              </w:rPr>
            </w:pPr>
            <w:r w:rsidRPr="00000F81">
              <w:rPr>
                <w:b/>
                <w:lang w:eastAsia="ar-SA"/>
              </w:rPr>
              <w:t xml:space="preserve">Подтверждающие документы: </w:t>
            </w:r>
            <w:r w:rsidRPr="00000F81">
              <w:rPr>
                <w:lang w:eastAsia="ar-SA"/>
              </w:rPr>
              <w:t>Справка в произвольной форме.</w:t>
            </w:r>
          </w:p>
          <w:p w:rsidR="00974A79" w:rsidRPr="00000F81" w:rsidRDefault="00974A79" w:rsidP="00974A79">
            <w:pPr>
              <w:suppressAutoHyphens/>
              <w:rPr>
                <w:b/>
                <w:lang w:eastAsia="ar-SA"/>
              </w:rPr>
            </w:pPr>
          </w:p>
          <w:p w:rsidR="00974A79" w:rsidRPr="00000F81" w:rsidRDefault="00974A79" w:rsidP="00974A79">
            <w:pPr>
              <w:suppressAutoHyphens/>
              <w:rPr>
                <w:b/>
                <w:lang w:eastAsia="ar-SA"/>
              </w:rPr>
            </w:pPr>
            <w:r w:rsidRPr="00000F81">
              <w:rPr>
                <w:b/>
                <w:lang w:eastAsia="ar-SA"/>
              </w:rPr>
              <w:t>2.</w:t>
            </w:r>
            <w:r w:rsidR="002D39BD" w:rsidRPr="00000F81">
              <w:rPr>
                <w:b/>
                <w:lang w:eastAsia="ar-SA"/>
              </w:rPr>
              <w:t>5</w:t>
            </w:r>
            <w:r w:rsidRPr="00000F81">
              <w:rPr>
                <w:b/>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974A79" w:rsidRPr="00000F81" w:rsidRDefault="00974A79" w:rsidP="00974A79">
            <w:pPr>
              <w:suppressAutoHyphens/>
              <w:rPr>
                <w:lang w:eastAsia="ar-SA"/>
              </w:rPr>
            </w:pPr>
            <w:r w:rsidRPr="00000F81">
              <w:rPr>
                <w:lang w:eastAsia="ar-SA"/>
              </w:rPr>
              <w:t xml:space="preserve">Да – </w:t>
            </w:r>
            <w:r w:rsidR="003E5D7D" w:rsidRPr="00000F81">
              <w:rPr>
                <w:lang w:eastAsia="ar-SA"/>
              </w:rPr>
              <w:t>10</w:t>
            </w:r>
            <w:r w:rsidRPr="00000F81">
              <w:rPr>
                <w:lang w:eastAsia="ar-SA"/>
              </w:rPr>
              <w:t xml:space="preserve"> баллов</w:t>
            </w:r>
          </w:p>
          <w:p w:rsidR="00974A79" w:rsidRPr="00000F81" w:rsidRDefault="00974A79" w:rsidP="00974A79">
            <w:pPr>
              <w:suppressAutoHyphens/>
              <w:rPr>
                <w:lang w:eastAsia="ar-SA"/>
              </w:rPr>
            </w:pPr>
            <w:r w:rsidRPr="00000F81">
              <w:rPr>
                <w:lang w:eastAsia="ar-SA"/>
              </w:rPr>
              <w:t xml:space="preserve"> Нет – 0 баллов</w:t>
            </w:r>
          </w:p>
          <w:p w:rsidR="00974A79" w:rsidRPr="00000F81" w:rsidRDefault="00974A79" w:rsidP="00974A79">
            <w:pPr>
              <w:suppressAutoHyphens/>
              <w:rPr>
                <w:lang w:eastAsia="ar-SA"/>
              </w:rPr>
            </w:pPr>
            <w:r w:rsidRPr="00000F81">
              <w:rPr>
                <w:b/>
                <w:lang w:eastAsia="ar-SA"/>
              </w:rPr>
              <w:t>Подтверждающие документы:</w:t>
            </w:r>
            <w:r w:rsidRPr="00000F81">
              <w:rPr>
                <w:lang w:eastAsia="ar-SA"/>
              </w:rPr>
              <w:t xml:space="preserve"> Справка в произвольной форме.</w:t>
            </w:r>
          </w:p>
          <w:p w:rsidR="00974A79" w:rsidRPr="00000F81" w:rsidRDefault="00974A79" w:rsidP="00974A79">
            <w:pPr>
              <w:suppressAutoHyphens/>
              <w:rPr>
                <w:lang w:eastAsia="ar-SA"/>
              </w:rPr>
            </w:pPr>
          </w:p>
          <w:p w:rsidR="00974A79" w:rsidRPr="00000F81" w:rsidRDefault="00974A79" w:rsidP="00974A79">
            <w:pPr>
              <w:suppressAutoHyphens/>
              <w:rPr>
                <w:b/>
                <w:lang w:eastAsia="ar-SA"/>
              </w:rPr>
            </w:pPr>
            <w:r w:rsidRPr="00000F81">
              <w:rPr>
                <w:b/>
                <w:lang w:eastAsia="ar-SA"/>
              </w:rPr>
              <w:t>2.</w:t>
            </w:r>
            <w:r w:rsidR="002D39BD" w:rsidRPr="00000F81">
              <w:rPr>
                <w:b/>
                <w:lang w:eastAsia="ar-SA"/>
              </w:rPr>
              <w:t>6</w:t>
            </w:r>
            <w:r w:rsidRPr="00000F81">
              <w:rPr>
                <w:b/>
                <w:lang w:eastAsia="ar-SA"/>
              </w:rPr>
              <w:t>. Наличие положительной репутации, положительного опыта выполнения работ (оказания услуг) для нужд Заказчика (АО «АТЭК»):</w:t>
            </w:r>
          </w:p>
          <w:p w:rsidR="00974A79" w:rsidRPr="00000F81" w:rsidRDefault="00974A79" w:rsidP="00974A79">
            <w:pPr>
              <w:suppressAutoHyphens/>
              <w:rPr>
                <w:lang w:eastAsia="ar-SA"/>
              </w:rPr>
            </w:pPr>
            <w:r w:rsidRPr="00000F81">
              <w:rPr>
                <w:lang w:eastAsia="ar-SA"/>
              </w:rPr>
              <w:t>Наличие – 20 баллов</w:t>
            </w:r>
          </w:p>
          <w:p w:rsidR="00974A79" w:rsidRPr="00000F81" w:rsidRDefault="00974A79" w:rsidP="00974A79">
            <w:pPr>
              <w:suppressAutoHyphens/>
              <w:rPr>
                <w:lang w:eastAsia="ar-SA"/>
              </w:rPr>
            </w:pPr>
            <w:r w:rsidRPr="00000F81">
              <w:rPr>
                <w:lang w:eastAsia="ar-SA"/>
              </w:rPr>
              <w:t>Отсутствие – 0 баллов</w:t>
            </w:r>
          </w:p>
          <w:p w:rsidR="00974A79" w:rsidRPr="00000F81" w:rsidRDefault="00974A79" w:rsidP="00974A79">
            <w:pPr>
              <w:suppressAutoHyphens/>
              <w:rPr>
                <w:lang w:eastAsia="ar-SA"/>
              </w:rPr>
            </w:pPr>
            <w:r w:rsidRPr="00000F81">
              <w:rPr>
                <w:b/>
                <w:lang w:eastAsia="ar-SA"/>
              </w:rPr>
              <w:t xml:space="preserve">Подтверждающие документы: </w:t>
            </w:r>
            <w:r w:rsidRPr="00000F81">
              <w:rPr>
                <w:lang w:eastAsia="ar-SA"/>
              </w:rPr>
              <w:t>заверенная копия благодарственного письма АО «АТЭК».</w:t>
            </w:r>
          </w:p>
          <w:p w:rsidR="005F5443" w:rsidRPr="00000F81" w:rsidRDefault="005F5443" w:rsidP="000B5C06">
            <w:pPr>
              <w:suppressAutoHyphens/>
              <w:rPr>
                <w:b/>
                <w:lang w:eastAsia="ar-SA"/>
              </w:rPr>
            </w:pPr>
          </w:p>
        </w:tc>
      </w:tr>
      <w:tr w:rsidR="0065318E" w:rsidRPr="00000F81" w:rsidTr="000B5C06">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65318E" w:rsidRPr="00000F81" w:rsidRDefault="0065318E" w:rsidP="000B5C06">
            <w:pPr>
              <w:suppressAutoHyphens/>
              <w:rPr>
                <w:b/>
                <w:lang w:eastAsia="ar-SA"/>
              </w:rPr>
            </w:pPr>
          </w:p>
          <w:p w:rsidR="0065318E" w:rsidRPr="00000F81" w:rsidRDefault="0065318E" w:rsidP="000B5C06">
            <w:pPr>
              <w:suppressAutoHyphens/>
              <w:rPr>
                <w:b/>
                <w:lang w:eastAsia="ar-SA"/>
              </w:rPr>
            </w:pPr>
            <w:r w:rsidRPr="00000F81">
              <w:rPr>
                <w:b/>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65318E" w:rsidRPr="00000F81" w:rsidRDefault="0065318E" w:rsidP="000B5C06">
            <w:pPr>
              <w:suppressAutoHyphens/>
              <w:autoSpaceDE w:val="0"/>
              <w:autoSpaceDN w:val="0"/>
              <w:adjustRightInd w:val="0"/>
              <w:ind w:firstLine="720"/>
              <w:rPr>
                <w:lang w:eastAsia="ar-SA"/>
              </w:rPr>
            </w:pPr>
            <w:r w:rsidRPr="00000F81">
              <w:rPr>
                <w:lang w:eastAsia="ar-SA"/>
              </w:rPr>
              <w:t>Рейтинг, присуждаемый i-й заявке по критерию «Качество услуг и квалификация участника конкурса», определяется по формуле:</w:t>
            </w:r>
          </w:p>
          <w:p w:rsidR="0065318E" w:rsidRPr="00000F81" w:rsidRDefault="009A2AA2" w:rsidP="000B5C06">
            <w:pPr>
              <w:suppressAutoHyphens/>
              <w:autoSpaceDE w:val="0"/>
              <w:autoSpaceDN w:val="0"/>
              <w:adjustRightInd w:val="0"/>
              <w:ind w:firstLine="698"/>
              <w:jc w:val="center"/>
              <w:rPr>
                <w:lang w:eastAsia="ar-SA"/>
              </w:rPr>
            </w:pPr>
            <w:r w:rsidRPr="00000F81">
              <w:rPr>
                <w:noProof/>
              </w:rPr>
              <w:drawing>
                <wp:inline distT="0" distB="0" distL="0" distR="0">
                  <wp:extent cx="13716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0065318E" w:rsidRPr="00000F81">
              <w:rPr>
                <w:lang w:eastAsia="ar-SA"/>
              </w:rPr>
              <w:t>,</w:t>
            </w:r>
          </w:p>
          <w:p w:rsidR="0065318E" w:rsidRPr="00000F81" w:rsidRDefault="0065318E" w:rsidP="000B5C06">
            <w:pPr>
              <w:suppressAutoHyphens/>
              <w:autoSpaceDE w:val="0"/>
              <w:autoSpaceDN w:val="0"/>
              <w:adjustRightInd w:val="0"/>
              <w:ind w:firstLine="720"/>
              <w:rPr>
                <w:lang w:eastAsia="ar-SA"/>
              </w:rPr>
            </w:pPr>
            <w:r w:rsidRPr="00000F81">
              <w:rPr>
                <w:lang w:eastAsia="ar-SA"/>
              </w:rPr>
              <w:t>где:</w:t>
            </w:r>
          </w:p>
          <w:p w:rsidR="0065318E" w:rsidRPr="00000F81" w:rsidRDefault="009A2AA2" w:rsidP="000B5C06">
            <w:pPr>
              <w:suppressAutoHyphens/>
              <w:autoSpaceDE w:val="0"/>
              <w:autoSpaceDN w:val="0"/>
              <w:adjustRightInd w:val="0"/>
              <w:ind w:firstLine="720"/>
              <w:rPr>
                <w:lang w:eastAsia="ar-SA"/>
              </w:rPr>
            </w:pPr>
            <w:r w:rsidRPr="00000F81">
              <w:rPr>
                <w:noProof/>
              </w:rPr>
              <w:lastRenderedPageBreak/>
              <w:drawing>
                <wp:inline distT="0" distB="0" distL="0" distR="0">
                  <wp:extent cx="219075"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65318E" w:rsidRPr="00000F81">
              <w:rPr>
                <w:lang w:eastAsia="ar-SA"/>
              </w:rPr>
              <w:t> - рейтинг, присуждаемый i-й заявке по указанному критерию;</w:t>
            </w:r>
          </w:p>
          <w:p w:rsidR="0065318E" w:rsidRPr="00000F81" w:rsidRDefault="009A2AA2" w:rsidP="000B5C06">
            <w:pPr>
              <w:suppressAutoHyphens/>
              <w:autoSpaceDE w:val="0"/>
              <w:autoSpaceDN w:val="0"/>
              <w:adjustRightInd w:val="0"/>
              <w:ind w:firstLine="720"/>
              <w:rPr>
                <w:lang w:eastAsia="ar-SA"/>
              </w:rPr>
            </w:pPr>
            <w:r w:rsidRPr="00000F81">
              <w:rPr>
                <w:noProof/>
              </w:rPr>
              <w:drawing>
                <wp:inline distT="0" distB="0" distL="0" distR="0">
                  <wp:extent cx="20002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0065318E" w:rsidRPr="00000F81">
              <w:rPr>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0065318E" w:rsidRPr="00000F81">
              <w:rPr>
                <w:lang w:eastAsia="ar-SA"/>
              </w:rPr>
              <w:t>му</w:t>
            </w:r>
            <w:proofErr w:type="spellEnd"/>
            <w:r w:rsidR="0065318E" w:rsidRPr="00000F81">
              <w:rPr>
                <w:lang w:eastAsia="ar-SA"/>
              </w:rPr>
              <w:t xml:space="preserve"> показателю, где k - количество установленных показателей.</w:t>
            </w:r>
          </w:p>
          <w:p w:rsidR="0065318E" w:rsidRPr="00000F81" w:rsidRDefault="0065318E" w:rsidP="000B5C06">
            <w:pPr>
              <w:suppressAutoHyphens/>
              <w:autoSpaceDE w:val="0"/>
              <w:autoSpaceDN w:val="0"/>
              <w:adjustRightInd w:val="0"/>
              <w:ind w:firstLine="720"/>
              <w:rPr>
                <w:lang w:eastAsia="ar-SA"/>
              </w:rPr>
            </w:pPr>
            <w:r w:rsidRPr="00000F81">
              <w:rPr>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65318E" w:rsidRPr="00000F81" w:rsidRDefault="0065318E" w:rsidP="000B5C06">
            <w:pPr>
              <w:suppressAutoHyphens/>
              <w:autoSpaceDE w:val="0"/>
              <w:autoSpaceDN w:val="0"/>
              <w:adjustRightInd w:val="0"/>
              <w:ind w:firstLine="720"/>
              <w:rPr>
                <w:lang w:eastAsia="ar-SA"/>
              </w:rPr>
            </w:pPr>
            <w:r w:rsidRPr="00000F81">
              <w:rPr>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sidR="005F5443" w:rsidRPr="00000F81">
              <w:rPr>
                <w:lang w:eastAsia="ar-SA"/>
              </w:rPr>
              <w:t>нному критерию значимость – 0,8</w:t>
            </w:r>
            <w:r w:rsidRPr="00000F81">
              <w:rPr>
                <w:lang w:eastAsia="ar-SA"/>
              </w:rPr>
              <w:t>0.</w:t>
            </w:r>
          </w:p>
          <w:p w:rsidR="0065318E" w:rsidRPr="00000F81" w:rsidRDefault="0065318E" w:rsidP="000B5C06">
            <w:pPr>
              <w:autoSpaceDE w:val="0"/>
              <w:autoSpaceDN w:val="0"/>
              <w:adjustRightInd w:val="0"/>
              <w:snapToGrid w:val="0"/>
              <w:jc w:val="both"/>
              <w:rPr>
                <w:b/>
              </w:rPr>
            </w:pPr>
          </w:p>
        </w:tc>
      </w:tr>
    </w:tbl>
    <w:p w:rsidR="0065318E" w:rsidRPr="00000F81" w:rsidRDefault="0065318E" w:rsidP="0065318E">
      <w:pPr>
        <w:suppressAutoHyphens/>
        <w:ind w:firstLine="720"/>
        <w:jc w:val="both"/>
        <w:rPr>
          <w:lang w:eastAsia="ar-SA"/>
        </w:rPr>
      </w:pPr>
      <w:r w:rsidRPr="00000F81">
        <w:rPr>
          <w:lang w:eastAsia="ar-SA"/>
        </w:rPr>
        <w:lastRenderedPageBreak/>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65318E" w:rsidRPr="00000F81" w:rsidRDefault="00EB162B" w:rsidP="0065318E">
      <w:pPr>
        <w:widowControl w:val="0"/>
        <w:tabs>
          <w:tab w:val="left" w:pos="1307"/>
        </w:tabs>
        <w:suppressAutoHyphens/>
        <w:ind w:firstLine="709"/>
        <w:jc w:val="both"/>
        <w:textAlignment w:val="baseline"/>
        <w:rPr>
          <w:lang w:eastAsia="ar-SA"/>
        </w:rPr>
      </w:pPr>
      <w:r w:rsidRPr="00000F81">
        <w:rPr>
          <w:lang w:eastAsia="ar-SA"/>
        </w:rPr>
        <w:t>Победителем признается</w:t>
      </w:r>
      <w:r w:rsidR="0065318E" w:rsidRPr="00000F81">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65318E" w:rsidRPr="00000F81" w:rsidRDefault="0065318E" w:rsidP="0065318E">
      <w:pPr>
        <w:widowControl w:val="0"/>
        <w:tabs>
          <w:tab w:val="left" w:pos="1307"/>
        </w:tabs>
        <w:suppressAutoHyphens/>
        <w:ind w:firstLine="709"/>
        <w:jc w:val="both"/>
        <w:textAlignment w:val="baseline"/>
        <w:rPr>
          <w:lang w:eastAsia="ar-SA"/>
        </w:rPr>
      </w:pPr>
      <w:r w:rsidRPr="00000F81">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Pr="00000F81" w:rsidRDefault="0065318E" w:rsidP="0065318E">
      <w:pPr>
        <w:rPr>
          <w:b/>
          <w:bCs/>
          <w:noProof/>
        </w:rPr>
      </w:pPr>
    </w:p>
    <w:p w:rsidR="00C73AA4" w:rsidRPr="00000F81" w:rsidRDefault="00C73AA4" w:rsidP="00C73AA4">
      <w:pPr>
        <w:rPr>
          <w:b/>
          <w:bCs/>
          <w:noProof/>
        </w:rPr>
      </w:pPr>
    </w:p>
    <w:p w:rsidR="00086581" w:rsidRPr="00000F81" w:rsidRDefault="00086581" w:rsidP="008670A9">
      <w:pPr>
        <w:rPr>
          <w:b/>
          <w:bCs/>
          <w:noProof/>
        </w:rPr>
      </w:pPr>
    </w:p>
    <w:p w:rsidR="00A86B3B" w:rsidRPr="00000F81" w:rsidRDefault="00A86B3B" w:rsidP="008670A9">
      <w:pPr>
        <w:rPr>
          <w:b/>
          <w:bCs/>
          <w:noProof/>
        </w:rPr>
      </w:pPr>
    </w:p>
    <w:p w:rsidR="000115E9" w:rsidRPr="00000F81" w:rsidRDefault="000115E9" w:rsidP="00C73AA4">
      <w:pPr>
        <w:rPr>
          <w:b/>
          <w:bCs/>
          <w:noProof/>
        </w:rPr>
      </w:pPr>
    </w:p>
    <w:p w:rsidR="00C3783A" w:rsidRPr="00000F81" w:rsidRDefault="00C3783A" w:rsidP="00C73AA4">
      <w:pPr>
        <w:rPr>
          <w:b/>
          <w:bCs/>
          <w:noProof/>
        </w:rPr>
      </w:pPr>
    </w:p>
    <w:p w:rsidR="00C3783A" w:rsidRPr="00000F81" w:rsidRDefault="00C3783A" w:rsidP="00C73AA4">
      <w:pPr>
        <w:rPr>
          <w:b/>
          <w:bCs/>
          <w:noProof/>
        </w:rPr>
      </w:pPr>
    </w:p>
    <w:p w:rsidR="00C3783A" w:rsidRPr="00000F81" w:rsidRDefault="00C3783A" w:rsidP="00C73AA4">
      <w:pPr>
        <w:rPr>
          <w:b/>
          <w:bCs/>
          <w:noProof/>
        </w:rPr>
      </w:pPr>
    </w:p>
    <w:p w:rsidR="00C3783A" w:rsidRPr="00000F81" w:rsidRDefault="00C3783A"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315FC4" w:rsidRPr="00000F81" w:rsidRDefault="00315FC4" w:rsidP="00C73AA4">
      <w:pP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5746B" w:rsidRDefault="00C5746B" w:rsidP="00C73AA4">
      <w:pPr>
        <w:ind w:firstLine="709"/>
        <w:jc w:val="center"/>
        <w:rPr>
          <w:b/>
          <w:bCs/>
          <w:noProof/>
        </w:rPr>
      </w:pPr>
    </w:p>
    <w:p w:rsidR="00C73AA4" w:rsidRPr="00000F81" w:rsidRDefault="007A2272" w:rsidP="00C73AA4">
      <w:pPr>
        <w:ind w:firstLine="709"/>
        <w:jc w:val="center"/>
        <w:rPr>
          <w:b/>
          <w:bCs/>
          <w:noProof/>
        </w:rPr>
      </w:pPr>
      <w:r w:rsidRPr="00000F81">
        <w:rPr>
          <w:b/>
          <w:bCs/>
          <w:noProof/>
        </w:rPr>
        <w:t xml:space="preserve"> </w:t>
      </w:r>
      <w:r w:rsidR="00C73AA4" w:rsidRPr="00000F81">
        <w:rPr>
          <w:b/>
          <w:bCs/>
          <w:noProof/>
        </w:rPr>
        <w:t>РАЗДЕЛ 2.</w:t>
      </w:r>
    </w:p>
    <w:p w:rsidR="00C73AA4" w:rsidRPr="00000F81" w:rsidRDefault="00C73AA4" w:rsidP="00C73AA4">
      <w:pPr>
        <w:ind w:firstLine="709"/>
        <w:jc w:val="center"/>
        <w:rPr>
          <w:b/>
          <w:bCs/>
          <w:noProof/>
        </w:rPr>
      </w:pPr>
      <w:r w:rsidRPr="00000F81">
        <w:rPr>
          <w:b/>
          <w:bCs/>
          <w:noProof/>
        </w:rPr>
        <w:lastRenderedPageBreak/>
        <w:t xml:space="preserve">ПОРЯДОК  И МЕСТО ПОДАЧИ ЗАЯВОК НА УЧАСТИЕ </w:t>
      </w:r>
    </w:p>
    <w:p w:rsidR="00C73AA4" w:rsidRPr="00000F81" w:rsidRDefault="00C73AA4" w:rsidP="00C73AA4">
      <w:pPr>
        <w:ind w:firstLine="709"/>
        <w:jc w:val="center"/>
        <w:rPr>
          <w:b/>
          <w:bCs/>
          <w:noProof/>
        </w:rPr>
      </w:pPr>
      <w:r w:rsidRPr="00000F81">
        <w:rPr>
          <w:b/>
          <w:bCs/>
          <w:noProof/>
        </w:rPr>
        <w:t>В ОТКРЫТОМ ЗАПРОСЕ ПРЕДЛОЖЕНИЙ</w:t>
      </w:r>
    </w:p>
    <w:p w:rsidR="00C73AA4" w:rsidRPr="00000F81" w:rsidRDefault="00C73AA4" w:rsidP="00C73AA4">
      <w:pPr>
        <w:autoSpaceDE w:val="0"/>
        <w:autoSpaceDN w:val="0"/>
        <w:adjustRightInd w:val="0"/>
        <w:ind w:firstLine="540"/>
        <w:jc w:val="both"/>
        <w:rPr>
          <w:lang w:eastAsia="en-US"/>
        </w:rPr>
      </w:pPr>
    </w:p>
    <w:p w:rsidR="00C239AA" w:rsidRPr="00000F81" w:rsidRDefault="00C239AA" w:rsidP="00C239AA">
      <w:pPr>
        <w:spacing w:line="276" w:lineRule="auto"/>
        <w:jc w:val="both"/>
        <w:rPr>
          <w:b/>
        </w:rPr>
      </w:pPr>
      <w:r w:rsidRPr="00000F81">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350039, РФ, 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C239AA" w:rsidRPr="00000F81" w:rsidRDefault="00C239AA" w:rsidP="00C239AA">
      <w:pPr>
        <w:spacing w:line="276" w:lineRule="auto"/>
        <w:jc w:val="both"/>
        <w:rPr>
          <w:b/>
        </w:rPr>
      </w:pPr>
      <w:r w:rsidRPr="00000F81">
        <w:t xml:space="preserve">            Заявка заполняется в соответствии с формой Приложения №2 и подписывается руководителем или уполномоченным лицом на русском языке в письменной форме </w:t>
      </w:r>
      <w:r w:rsidR="00EB162B" w:rsidRPr="00000F81">
        <w:t>в запечатанном</w:t>
      </w:r>
      <w:r w:rsidRPr="00000F81">
        <w:t xml:space="preserve"> конверте, с указанием на конверте наименование организации, наименование лота, почтового адреса и контактного телефона.</w:t>
      </w:r>
      <w:r w:rsidRPr="00000F81">
        <w:rPr>
          <w:b/>
        </w:rPr>
        <w:t xml:space="preserve"> </w:t>
      </w:r>
    </w:p>
    <w:p w:rsidR="00C239AA" w:rsidRPr="00000F81" w:rsidRDefault="00C239AA" w:rsidP="00C239AA">
      <w:pPr>
        <w:spacing w:line="276" w:lineRule="auto"/>
        <w:jc w:val="both"/>
        <w:rPr>
          <w:b/>
        </w:rPr>
      </w:pPr>
      <w:r w:rsidRPr="00000F81">
        <w:rPr>
          <w:b/>
        </w:rPr>
        <w:t xml:space="preserve">             </w:t>
      </w:r>
      <w:r w:rsidRPr="00000F81">
        <w:t>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поступившие позже указанного срока не рассматриваются.</w:t>
      </w:r>
    </w:p>
    <w:p w:rsidR="00C239AA" w:rsidRPr="00000F81" w:rsidRDefault="00C239AA" w:rsidP="00C239AA">
      <w:pPr>
        <w:spacing w:line="276" w:lineRule="auto"/>
        <w:jc w:val="both"/>
      </w:pPr>
      <w:r w:rsidRPr="00000F81">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239AA" w:rsidRPr="00000F81" w:rsidRDefault="00C239AA" w:rsidP="00C239AA">
      <w:pPr>
        <w:spacing w:line="276" w:lineRule="auto"/>
        <w:jc w:val="both"/>
      </w:pPr>
      <w:r w:rsidRPr="00000F81">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239AA" w:rsidRPr="00000F81" w:rsidRDefault="00C239AA" w:rsidP="00C239AA">
      <w:pPr>
        <w:suppressAutoHyphens/>
        <w:ind w:firstLine="709"/>
        <w:jc w:val="both"/>
        <w:rPr>
          <w:lang w:eastAsia="ar-SA"/>
        </w:rPr>
      </w:pPr>
      <w:r w:rsidRPr="00000F81">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EB162B" w:rsidRPr="00000F81">
        <w:rPr>
          <w:lang w:eastAsia="ar-SA"/>
        </w:rPr>
        <w:t>до истечения,</w:t>
      </w:r>
      <w:r w:rsidRPr="00000F81">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EB162B" w:rsidRPr="00000F81">
        <w:rPr>
          <w:lang w:eastAsia="ar-SA"/>
        </w:rPr>
        <w:t>предложений не</w:t>
      </w:r>
      <w:r w:rsidRPr="00000F81">
        <w:rPr>
          <w:lang w:eastAsia="ar-SA"/>
        </w:rPr>
        <w:t xml:space="preserve"> принимаются.</w:t>
      </w:r>
    </w:p>
    <w:p w:rsidR="00C73AA4" w:rsidRPr="00000F81" w:rsidRDefault="00C73AA4" w:rsidP="00C73AA4">
      <w:pPr>
        <w:spacing w:line="276" w:lineRule="auto"/>
        <w:jc w:val="both"/>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C73AA4" w:rsidRPr="00000F81" w:rsidRDefault="00C73AA4" w:rsidP="00C73AA4">
      <w:pPr>
        <w:autoSpaceDE w:val="0"/>
        <w:autoSpaceDN w:val="0"/>
        <w:adjustRightInd w:val="0"/>
        <w:jc w:val="both"/>
        <w:rPr>
          <w:lang w:eastAsia="en-US"/>
        </w:rPr>
      </w:pPr>
    </w:p>
    <w:p w:rsidR="000332D7" w:rsidRPr="00000F81" w:rsidRDefault="000332D7" w:rsidP="00C73AA4">
      <w:pPr>
        <w:autoSpaceDE w:val="0"/>
        <w:autoSpaceDN w:val="0"/>
        <w:adjustRightInd w:val="0"/>
        <w:jc w:val="both"/>
        <w:rPr>
          <w:lang w:eastAsia="en-US"/>
        </w:rPr>
      </w:pPr>
    </w:p>
    <w:p w:rsidR="000332D7" w:rsidRPr="00000F81" w:rsidRDefault="000332D7" w:rsidP="00C73AA4">
      <w:pPr>
        <w:autoSpaceDE w:val="0"/>
        <w:autoSpaceDN w:val="0"/>
        <w:adjustRightInd w:val="0"/>
        <w:jc w:val="both"/>
        <w:rPr>
          <w:lang w:eastAsia="en-US"/>
        </w:rPr>
      </w:pPr>
    </w:p>
    <w:p w:rsidR="000115E9" w:rsidRPr="00000F81" w:rsidRDefault="000115E9" w:rsidP="00C73AA4">
      <w:pPr>
        <w:autoSpaceDE w:val="0"/>
        <w:autoSpaceDN w:val="0"/>
        <w:adjustRightInd w:val="0"/>
        <w:jc w:val="both"/>
        <w:rPr>
          <w:lang w:eastAsia="en-US"/>
        </w:rPr>
      </w:pPr>
    </w:p>
    <w:p w:rsidR="009F4C38" w:rsidRPr="00000F81" w:rsidRDefault="009F4C38" w:rsidP="00C73AA4">
      <w:pPr>
        <w:autoSpaceDE w:val="0"/>
        <w:autoSpaceDN w:val="0"/>
        <w:adjustRightInd w:val="0"/>
        <w:jc w:val="both"/>
        <w:rPr>
          <w:lang w:eastAsia="en-US"/>
        </w:rPr>
      </w:pPr>
    </w:p>
    <w:p w:rsidR="00AB0BD9" w:rsidRPr="00000F81" w:rsidRDefault="00AB0BD9" w:rsidP="00C73AA4">
      <w:pPr>
        <w:autoSpaceDE w:val="0"/>
        <w:autoSpaceDN w:val="0"/>
        <w:adjustRightInd w:val="0"/>
        <w:jc w:val="both"/>
        <w:rPr>
          <w:lang w:eastAsia="en-US"/>
        </w:rPr>
      </w:pPr>
    </w:p>
    <w:p w:rsidR="00C5746B" w:rsidRDefault="00C5746B" w:rsidP="00C73AA4">
      <w:pPr>
        <w:autoSpaceDE w:val="0"/>
        <w:autoSpaceDN w:val="0"/>
        <w:adjustRightInd w:val="0"/>
        <w:ind w:firstLine="540"/>
        <w:jc w:val="center"/>
        <w:rPr>
          <w:b/>
          <w:bCs/>
          <w:noProof/>
        </w:rPr>
      </w:pPr>
    </w:p>
    <w:p w:rsidR="00C73AA4" w:rsidRPr="00000F81" w:rsidRDefault="00C73AA4" w:rsidP="00C73AA4">
      <w:pPr>
        <w:autoSpaceDE w:val="0"/>
        <w:autoSpaceDN w:val="0"/>
        <w:adjustRightInd w:val="0"/>
        <w:ind w:firstLine="540"/>
        <w:jc w:val="center"/>
        <w:rPr>
          <w:b/>
          <w:bCs/>
          <w:noProof/>
        </w:rPr>
      </w:pPr>
      <w:r w:rsidRPr="00000F81">
        <w:rPr>
          <w:b/>
          <w:bCs/>
          <w:noProof/>
        </w:rPr>
        <w:t xml:space="preserve">РАЗДЕЛ 3. </w:t>
      </w:r>
    </w:p>
    <w:p w:rsidR="00C73AA4" w:rsidRPr="00000F81" w:rsidRDefault="00C73AA4" w:rsidP="00C73AA4">
      <w:pPr>
        <w:autoSpaceDE w:val="0"/>
        <w:autoSpaceDN w:val="0"/>
        <w:adjustRightInd w:val="0"/>
        <w:ind w:firstLine="540"/>
        <w:jc w:val="center"/>
        <w:rPr>
          <w:b/>
        </w:rPr>
      </w:pPr>
      <w:r w:rsidRPr="00000F81">
        <w:rPr>
          <w:b/>
        </w:rPr>
        <w:lastRenderedPageBreak/>
        <w:t>ТРЕБОВАНИЯ К СОДЕРЖАНИЮ И СОСТАВУ ЗАЯВКИ НА УЧАСТИЕ                       В ОТКРЫТОМ ЗАПРОСЕ ПРЕДЛОЖЕНИЙ</w:t>
      </w:r>
    </w:p>
    <w:p w:rsidR="00C73AA4" w:rsidRPr="00000F81" w:rsidRDefault="00652F88" w:rsidP="00C73AA4">
      <w:pPr>
        <w:rPr>
          <w:noProof/>
        </w:rPr>
      </w:pPr>
      <w:r w:rsidRPr="00000F81">
        <w:rPr>
          <w:noProof/>
        </w:rPr>
        <w:t xml:space="preserve">          </w:t>
      </w:r>
    </w:p>
    <w:p w:rsidR="00C73AA4" w:rsidRPr="00000F81" w:rsidRDefault="00C73AA4" w:rsidP="00C73AA4">
      <w:pPr>
        <w:shd w:val="clear" w:color="auto" w:fill="FFFFFF"/>
        <w:suppressAutoHyphens/>
        <w:rPr>
          <w:rFonts w:ascii="Arial" w:hAnsi="Arial" w:cs="Arial"/>
          <w:color w:val="625F5F"/>
        </w:rPr>
      </w:pPr>
      <w:r w:rsidRPr="00000F81">
        <w:t xml:space="preserve">           К заявке прилагается:</w:t>
      </w:r>
      <w:r w:rsidRPr="00000F81">
        <w:rPr>
          <w:rFonts w:ascii="Arial" w:hAnsi="Arial" w:cs="Arial"/>
          <w:b/>
          <w:bCs/>
          <w:color w:val="625F5F"/>
          <w:lang w:eastAsia="ar-SA"/>
        </w:rPr>
        <w:t xml:space="preserve"> </w:t>
      </w:r>
    </w:p>
    <w:p w:rsidR="00C73AA4" w:rsidRPr="00000F81" w:rsidRDefault="00C73AA4" w:rsidP="00C73AA4">
      <w:pPr>
        <w:widowControl w:val="0"/>
        <w:tabs>
          <w:tab w:val="num" w:pos="142"/>
        </w:tabs>
        <w:autoSpaceDE w:val="0"/>
        <w:autoSpaceDN w:val="0"/>
        <w:adjustRightInd w:val="0"/>
        <w:jc w:val="both"/>
      </w:pPr>
      <w:r w:rsidRPr="00000F81">
        <w:t>- Опись прилагаемых документов к заявке на участие в открытом запросе предложений (наименование, кол-во листов) (Приложение №</w:t>
      </w:r>
      <w:r w:rsidR="003E5D7D" w:rsidRPr="00000F81">
        <w:t>5</w:t>
      </w:r>
      <w:r w:rsidRPr="00000F81">
        <w:t>);</w:t>
      </w:r>
    </w:p>
    <w:p w:rsidR="00C73AA4" w:rsidRPr="00000F81" w:rsidRDefault="00C73AA4" w:rsidP="00C73AA4">
      <w:pPr>
        <w:widowControl w:val="0"/>
        <w:tabs>
          <w:tab w:val="num" w:pos="142"/>
        </w:tabs>
        <w:autoSpaceDE w:val="0"/>
        <w:autoSpaceDN w:val="0"/>
        <w:adjustRightInd w:val="0"/>
        <w:jc w:val="both"/>
      </w:pPr>
      <w:r w:rsidRPr="00000F81">
        <w:t>- Заявка на открытый запрос предложений (Приложение №2);</w:t>
      </w:r>
    </w:p>
    <w:p w:rsidR="008558FA" w:rsidRPr="00000F81" w:rsidRDefault="0065318E" w:rsidP="00C73AA4">
      <w:pPr>
        <w:autoSpaceDE w:val="0"/>
        <w:autoSpaceDN w:val="0"/>
        <w:adjustRightInd w:val="0"/>
        <w:jc w:val="both"/>
        <w:rPr>
          <w:rFonts w:ascii="Arial" w:eastAsia="Arial" w:hAnsi="Arial" w:cs="Arial"/>
        </w:rPr>
      </w:pPr>
      <w:r w:rsidRPr="00000F81">
        <w:t xml:space="preserve">- Декларация (Приложение № </w:t>
      </w:r>
      <w:r w:rsidR="003E5D7D" w:rsidRPr="00000F81">
        <w:t>4</w:t>
      </w:r>
      <w:r w:rsidRPr="00000F81">
        <w:t>) или справка о не принадлежности к СМП;</w:t>
      </w:r>
    </w:p>
    <w:p w:rsidR="00C73AA4" w:rsidRPr="00000F81" w:rsidRDefault="00C73AA4" w:rsidP="00C73AA4">
      <w:pPr>
        <w:widowControl w:val="0"/>
        <w:tabs>
          <w:tab w:val="num" w:pos="142"/>
        </w:tabs>
        <w:autoSpaceDE w:val="0"/>
        <w:autoSpaceDN w:val="0"/>
        <w:adjustRightInd w:val="0"/>
        <w:jc w:val="both"/>
      </w:pPr>
      <w:r w:rsidRPr="00000F81">
        <w:t xml:space="preserve">- выписка из </w:t>
      </w:r>
      <w:r w:rsidR="00137123" w:rsidRPr="00000F81">
        <w:t>ЕГРЮЛ</w:t>
      </w:r>
      <w:r w:rsidRPr="00000F81">
        <w:t xml:space="preserve"> полученная не ранее чем за 60 дней до подачи заявки (оригинал или нотариальная копия,</w:t>
      </w:r>
      <w:r w:rsidRPr="00000F81">
        <w:rPr>
          <w:lang w:eastAsia="ar-SA"/>
        </w:rPr>
        <w:t xml:space="preserve"> либо копия выписки прошитая, </w:t>
      </w:r>
      <w:r w:rsidR="00EB162B" w:rsidRPr="00000F81">
        <w:rPr>
          <w:lang w:eastAsia="ar-SA"/>
        </w:rPr>
        <w:t>пронумерованная, заверенная</w:t>
      </w:r>
      <w:r w:rsidRPr="00000F81">
        <w:rPr>
          <w:lang w:eastAsia="ar-SA"/>
        </w:rPr>
        <w:t xml:space="preserve"> печатью организации и подписью уполномоченного лица</w:t>
      </w:r>
      <w:r w:rsidRPr="00000F81">
        <w:t>);</w:t>
      </w:r>
    </w:p>
    <w:p w:rsidR="00C73AA4" w:rsidRPr="00000F81" w:rsidRDefault="00C3783A" w:rsidP="00C73AA4">
      <w:pPr>
        <w:widowControl w:val="0"/>
        <w:tabs>
          <w:tab w:val="num" w:pos="142"/>
        </w:tabs>
        <w:autoSpaceDE w:val="0"/>
        <w:autoSpaceDN w:val="0"/>
        <w:adjustRightInd w:val="0"/>
        <w:jc w:val="both"/>
      </w:pPr>
      <w:r w:rsidRPr="00000F81">
        <w:t>- К</w:t>
      </w:r>
      <w:r w:rsidR="00C73AA4" w:rsidRPr="00000F81">
        <w:t>опии свидетельства о постановке на налоговый учет и государственной регистрации предприятия;</w:t>
      </w:r>
    </w:p>
    <w:p w:rsidR="00C73AA4" w:rsidRPr="00000F81" w:rsidRDefault="00C3783A" w:rsidP="00C73AA4">
      <w:pPr>
        <w:widowControl w:val="0"/>
        <w:tabs>
          <w:tab w:val="num" w:pos="142"/>
        </w:tabs>
        <w:autoSpaceDE w:val="0"/>
        <w:autoSpaceDN w:val="0"/>
        <w:adjustRightInd w:val="0"/>
        <w:jc w:val="both"/>
      </w:pPr>
      <w:r w:rsidRPr="00000F81">
        <w:t>- К</w:t>
      </w:r>
      <w:r w:rsidR="00C73AA4" w:rsidRPr="00000F81">
        <w:t>опия устава;</w:t>
      </w:r>
    </w:p>
    <w:p w:rsidR="00C73AA4" w:rsidRPr="00000F81" w:rsidRDefault="00C73AA4" w:rsidP="00C73AA4">
      <w:pPr>
        <w:autoSpaceDE w:val="0"/>
        <w:autoSpaceDN w:val="0"/>
        <w:adjustRightInd w:val="0"/>
        <w:jc w:val="both"/>
        <w:rPr>
          <w:rFonts w:eastAsia="Arial"/>
        </w:rPr>
      </w:pPr>
      <w:r w:rsidRPr="00000F81">
        <w:t xml:space="preserve">- </w:t>
      </w:r>
      <w:r w:rsidR="00C3783A" w:rsidRPr="00000F81">
        <w:rPr>
          <w:rFonts w:eastAsia="Arial"/>
        </w:rPr>
        <w:t>Д</w:t>
      </w:r>
      <w:r w:rsidRPr="00000F81">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00F81" w:rsidRDefault="00C73AA4" w:rsidP="00C73AA4">
      <w:pPr>
        <w:widowControl w:val="0"/>
        <w:tabs>
          <w:tab w:val="num" w:pos="142"/>
        </w:tabs>
        <w:autoSpaceDE w:val="0"/>
        <w:autoSpaceDN w:val="0"/>
        <w:adjustRightInd w:val="0"/>
        <w:jc w:val="both"/>
      </w:pPr>
      <w:r w:rsidRPr="00000F81">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281FE0" w:rsidRPr="00000F81" w:rsidRDefault="00281FE0" w:rsidP="00281FE0">
      <w:pPr>
        <w:widowControl w:val="0"/>
        <w:tabs>
          <w:tab w:val="num" w:pos="142"/>
        </w:tabs>
        <w:autoSpaceDE w:val="0"/>
        <w:autoSpaceDN w:val="0"/>
        <w:adjustRightInd w:val="0"/>
        <w:ind w:left="-426" w:firstLine="284"/>
        <w:jc w:val="both"/>
      </w:pPr>
      <w:r w:rsidRPr="00000F81">
        <w:t>- соответствие участника требованиям открытого запроса предложений (Раздел 4.);</w:t>
      </w:r>
    </w:p>
    <w:p w:rsidR="00281FE0" w:rsidRPr="00000F81" w:rsidRDefault="00281FE0" w:rsidP="00281FE0">
      <w:pPr>
        <w:widowControl w:val="0"/>
        <w:tabs>
          <w:tab w:val="num" w:pos="142"/>
        </w:tabs>
        <w:autoSpaceDE w:val="0"/>
        <w:autoSpaceDN w:val="0"/>
        <w:adjustRightInd w:val="0"/>
        <w:ind w:left="-142"/>
        <w:jc w:val="both"/>
      </w:pPr>
      <w:r w:rsidRPr="00000F81">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281FE0" w:rsidRPr="00000F81" w:rsidRDefault="00281FE0" w:rsidP="00281FE0">
      <w:pPr>
        <w:ind w:left="-426" w:firstLine="284"/>
      </w:pPr>
      <w:r w:rsidRPr="00000F81">
        <w:t>- копия Бухгалтерского баланса за последний отчетный период (формы № 1 и № 2);</w:t>
      </w:r>
    </w:p>
    <w:p w:rsidR="00281FE0" w:rsidRPr="00000F81" w:rsidRDefault="00281FE0" w:rsidP="00281FE0">
      <w:pPr>
        <w:widowControl w:val="0"/>
        <w:tabs>
          <w:tab w:val="num" w:pos="142"/>
        </w:tabs>
        <w:autoSpaceDE w:val="0"/>
        <w:autoSpaceDN w:val="0"/>
        <w:adjustRightInd w:val="0"/>
        <w:ind w:left="-142"/>
        <w:jc w:val="both"/>
      </w:pPr>
      <w:r w:rsidRPr="00000F81">
        <w:t xml:space="preserve">- в случае применения участником закупки УСН или ЕНВД, копии писем (уведомлений) о применении данных систем налогообложения; </w:t>
      </w:r>
    </w:p>
    <w:p w:rsidR="00281FE0" w:rsidRPr="00000F81" w:rsidRDefault="00281FE0" w:rsidP="00281FE0">
      <w:pPr>
        <w:widowControl w:val="0"/>
        <w:tabs>
          <w:tab w:val="num" w:pos="142"/>
        </w:tabs>
        <w:autoSpaceDE w:val="0"/>
        <w:autoSpaceDN w:val="0"/>
        <w:adjustRightInd w:val="0"/>
        <w:ind w:left="-426" w:firstLine="284"/>
        <w:jc w:val="both"/>
      </w:pPr>
      <w:r w:rsidRPr="00000F81">
        <w:t>- заполненный сметный расчет (с примененным «коэффициентом снижения»);</w:t>
      </w:r>
    </w:p>
    <w:p w:rsidR="00281FE0" w:rsidRPr="00000F81" w:rsidRDefault="00281FE0" w:rsidP="00281FE0">
      <w:pPr>
        <w:widowControl w:val="0"/>
        <w:tabs>
          <w:tab w:val="num" w:pos="142"/>
        </w:tabs>
        <w:autoSpaceDE w:val="0"/>
        <w:autoSpaceDN w:val="0"/>
        <w:adjustRightInd w:val="0"/>
        <w:ind w:left="-426" w:firstLine="284"/>
        <w:jc w:val="both"/>
      </w:pPr>
      <w:r w:rsidRPr="00000F81">
        <w:t>- справка в произвольной форме о сроках выполнения работ на фирменном бланке организации;</w:t>
      </w:r>
    </w:p>
    <w:p w:rsidR="00281FE0" w:rsidRPr="00000F81" w:rsidRDefault="00281FE0" w:rsidP="00281FE0">
      <w:pPr>
        <w:widowControl w:val="0"/>
        <w:tabs>
          <w:tab w:val="num" w:pos="142"/>
        </w:tabs>
        <w:autoSpaceDE w:val="0"/>
        <w:autoSpaceDN w:val="0"/>
        <w:adjustRightInd w:val="0"/>
        <w:ind w:left="-142"/>
        <w:jc w:val="both"/>
      </w:pPr>
      <w:r w:rsidRPr="00000F81">
        <w:t>- референс-лист (сведения об исполнении аналогичных договоров, документы, подтверждающие положительную репутацию) (в произвольной форме);</w:t>
      </w:r>
    </w:p>
    <w:p w:rsidR="00281FE0" w:rsidRPr="00000F81" w:rsidRDefault="00281FE0" w:rsidP="00281FE0">
      <w:pPr>
        <w:widowControl w:val="0"/>
        <w:tabs>
          <w:tab w:val="num" w:pos="142"/>
        </w:tabs>
        <w:autoSpaceDE w:val="0"/>
        <w:autoSpaceDN w:val="0"/>
        <w:adjustRightInd w:val="0"/>
        <w:ind w:left="-426" w:firstLine="284"/>
        <w:jc w:val="both"/>
      </w:pPr>
      <w:r w:rsidRPr="00000F81">
        <w:t>- копии актов выполненных работ по работе с заказчиком;</w:t>
      </w:r>
    </w:p>
    <w:p w:rsidR="00281FE0" w:rsidRPr="00000F81" w:rsidRDefault="00281FE0" w:rsidP="00281FE0">
      <w:pPr>
        <w:widowControl w:val="0"/>
        <w:tabs>
          <w:tab w:val="num" w:pos="142"/>
        </w:tabs>
        <w:autoSpaceDE w:val="0"/>
        <w:autoSpaceDN w:val="0"/>
        <w:adjustRightInd w:val="0"/>
        <w:ind w:left="-142"/>
        <w:jc w:val="both"/>
      </w:pPr>
      <w:r w:rsidRPr="00000F81">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C73AA4" w:rsidRPr="00000F81" w:rsidRDefault="00281FE0" w:rsidP="00281FE0">
      <w:pPr>
        <w:rPr>
          <w:noProof/>
        </w:rPr>
      </w:pPr>
      <w:r w:rsidRPr="00000F81">
        <w:rPr>
          <w:noProof/>
        </w:rPr>
        <w:br w:type="page"/>
      </w:r>
    </w:p>
    <w:p w:rsidR="003E5D7D" w:rsidRPr="00000F81" w:rsidRDefault="003E5D7D" w:rsidP="00C73AA4">
      <w:pPr>
        <w:ind w:firstLine="709"/>
        <w:jc w:val="center"/>
        <w:rPr>
          <w:b/>
          <w:bCs/>
          <w:noProof/>
        </w:rPr>
      </w:pPr>
    </w:p>
    <w:p w:rsidR="00C73AA4" w:rsidRPr="00000F81" w:rsidRDefault="00C73AA4" w:rsidP="00C73AA4">
      <w:pPr>
        <w:ind w:firstLine="709"/>
        <w:jc w:val="center"/>
        <w:rPr>
          <w:b/>
          <w:bCs/>
          <w:noProof/>
        </w:rPr>
      </w:pPr>
      <w:r w:rsidRPr="00000F81">
        <w:rPr>
          <w:b/>
          <w:bCs/>
          <w:noProof/>
        </w:rPr>
        <w:t xml:space="preserve">РАЗДЕЛ 4. </w:t>
      </w:r>
    </w:p>
    <w:p w:rsidR="00C73AA4" w:rsidRPr="00000F81" w:rsidRDefault="00281FE0" w:rsidP="00C73AA4">
      <w:pPr>
        <w:ind w:firstLine="709"/>
        <w:jc w:val="center"/>
        <w:rPr>
          <w:b/>
        </w:rPr>
      </w:pPr>
      <w:r w:rsidRPr="00000F81">
        <w:rPr>
          <w:b/>
        </w:rPr>
        <w:t>ТРЕБОВАНИЯ К</w:t>
      </w:r>
      <w:r w:rsidR="00C73AA4" w:rsidRPr="00000F81">
        <w:rPr>
          <w:b/>
        </w:rPr>
        <w:t xml:space="preserve"> УЧАСТНИКАМ ЗАКУПКИ </w:t>
      </w:r>
    </w:p>
    <w:p w:rsidR="00C73AA4" w:rsidRPr="00000F81" w:rsidRDefault="00C73AA4" w:rsidP="00C73AA4">
      <w:pPr>
        <w:ind w:firstLine="709"/>
        <w:jc w:val="center"/>
        <w:rPr>
          <w:b/>
        </w:rPr>
      </w:pPr>
    </w:p>
    <w:p w:rsidR="00C239AA" w:rsidRPr="00000F81" w:rsidRDefault="00C239AA" w:rsidP="00C239AA">
      <w:pPr>
        <w:jc w:val="both"/>
      </w:pPr>
      <w:r w:rsidRPr="00000F81">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239AA" w:rsidRPr="00000F81" w:rsidRDefault="00C239AA" w:rsidP="00C239AA">
      <w:pPr>
        <w:jc w:val="both"/>
      </w:pPr>
      <w:r w:rsidRPr="00000F81">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239AA" w:rsidRPr="00000F81" w:rsidRDefault="00C239AA" w:rsidP="00C239AA">
      <w:pPr>
        <w:jc w:val="both"/>
      </w:pPr>
      <w:r w:rsidRPr="00000F81">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239AA" w:rsidRPr="00000F81" w:rsidRDefault="00C239AA" w:rsidP="00C239AA">
      <w:pPr>
        <w:ind w:firstLine="426"/>
        <w:jc w:val="both"/>
      </w:pPr>
      <w:r w:rsidRPr="00000F8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239AA" w:rsidRPr="00000F81" w:rsidRDefault="00C239AA" w:rsidP="00C239AA">
      <w:pPr>
        <w:ind w:firstLine="426"/>
        <w:jc w:val="both"/>
      </w:pPr>
      <w:r w:rsidRPr="00000F8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39AA" w:rsidRPr="00000F81" w:rsidRDefault="00C239AA" w:rsidP="00C239AA">
      <w:pPr>
        <w:ind w:firstLine="426"/>
        <w:jc w:val="both"/>
      </w:pPr>
      <w:r w:rsidRPr="00000F81">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239AA" w:rsidRPr="00000F81" w:rsidRDefault="00C239AA" w:rsidP="00C239AA">
      <w:pPr>
        <w:ind w:firstLine="426"/>
        <w:jc w:val="both"/>
      </w:pPr>
      <w:r w:rsidRPr="00000F81">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239AA" w:rsidRPr="00000F81" w:rsidRDefault="00C239AA" w:rsidP="00C239AA">
      <w:pPr>
        <w:ind w:firstLine="426"/>
        <w:jc w:val="both"/>
      </w:pPr>
      <w:r w:rsidRPr="00000F81">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C239AA" w:rsidRPr="00000F81" w:rsidRDefault="00C239AA" w:rsidP="00C239AA">
      <w:pPr>
        <w:ind w:firstLine="708"/>
        <w:jc w:val="both"/>
      </w:pPr>
    </w:p>
    <w:p w:rsidR="00C239AA" w:rsidRPr="00000F81" w:rsidRDefault="00C239AA" w:rsidP="00C239AA">
      <w:pPr>
        <w:jc w:val="both"/>
      </w:pPr>
      <w:r w:rsidRPr="00000F81">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39AA" w:rsidRPr="00000F81" w:rsidRDefault="00C239AA" w:rsidP="00C239AA">
      <w:pPr>
        <w:ind w:firstLine="426"/>
        <w:jc w:val="both"/>
      </w:pPr>
      <w:r w:rsidRPr="00000F81">
        <w:t>9) Участник закупки не является офшорной компанией.</w:t>
      </w:r>
    </w:p>
    <w:p w:rsidR="00C239AA" w:rsidRPr="00000F81" w:rsidRDefault="00C239AA" w:rsidP="00C239AA">
      <w:pPr>
        <w:ind w:firstLine="426"/>
        <w:jc w:val="both"/>
      </w:pPr>
      <w:r w:rsidRPr="00000F81">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000F81" w:rsidRDefault="00382BB0" w:rsidP="007A2272">
      <w:pPr>
        <w:ind w:firstLine="709"/>
        <w:jc w:val="both"/>
        <w:rPr>
          <w:b/>
          <w:bCs/>
          <w:noProof/>
        </w:rPr>
      </w:pPr>
    </w:p>
    <w:sectPr w:rsidR="00382BB0" w:rsidRPr="00000F81" w:rsidSect="00715C8F">
      <w:headerReference w:type="even" r:id="rId14"/>
      <w:headerReference w:type="default" r:id="rId15"/>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16B" w:rsidRDefault="006E616B">
      <w:r>
        <w:separator/>
      </w:r>
    </w:p>
  </w:endnote>
  <w:endnote w:type="continuationSeparator" w:id="0">
    <w:p w:rsidR="006E616B" w:rsidRDefault="006E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16B" w:rsidRDefault="006E616B">
      <w:r>
        <w:separator/>
      </w:r>
    </w:p>
  </w:footnote>
  <w:footnote w:type="continuationSeparator" w:id="0">
    <w:p w:rsidR="006E616B" w:rsidRDefault="006E6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503C5">
      <w:rPr>
        <w:rStyle w:val="a9"/>
        <w:noProof/>
      </w:rPr>
      <w:t>12</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0F81"/>
    <w:rsid w:val="000017B9"/>
    <w:rsid w:val="00002466"/>
    <w:rsid w:val="00004D53"/>
    <w:rsid w:val="0000689F"/>
    <w:rsid w:val="000115E9"/>
    <w:rsid w:val="000150EE"/>
    <w:rsid w:val="00015416"/>
    <w:rsid w:val="00021B6F"/>
    <w:rsid w:val="00024644"/>
    <w:rsid w:val="000332D7"/>
    <w:rsid w:val="000414AD"/>
    <w:rsid w:val="000503C5"/>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30E9"/>
    <w:rsid w:val="000A4193"/>
    <w:rsid w:val="000A6504"/>
    <w:rsid w:val="000B2F78"/>
    <w:rsid w:val="000B5C06"/>
    <w:rsid w:val="000C50E9"/>
    <w:rsid w:val="000C672E"/>
    <w:rsid w:val="000D35F3"/>
    <w:rsid w:val="000D76AB"/>
    <w:rsid w:val="000E072F"/>
    <w:rsid w:val="000E6D35"/>
    <w:rsid w:val="000F5059"/>
    <w:rsid w:val="00100DE9"/>
    <w:rsid w:val="001103E7"/>
    <w:rsid w:val="00111F7C"/>
    <w:rsid w:val="0012094A"/>
    <w:rsid w:val="00123803"/>
    <w:rsid w:val="00123C02"/>
    <w:rsid w:val="00130D7A"/>
    <w:rsid w:val="00136016"/>
    <w:rsid w:val="00137123"/>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42D8D"/>
    <w:rsid w:val="00243596"/>
    <w:rsid w:val="00243F5D"/>
    <w:rsid w:val="00244037"/>
    <w:rsid w:val="0024428E"/>
    <w:rsid w:val="002459E0"/>
    <w:rsid w:val="002475DB"/>
    <w:rsid w:val="00254C81"/>
    <w:rsid w:val="00257221"/>
    <w:rsid w:val="00261D5B"/>
    <w:rsid w:val="00265571"/>
    <w:rsid w:val="002702E6"/>
    <w:rsid w:val="00270B71"/>
    <w:rsid w:val="00273D4D"/>
    <w:rsid w:val="002761C9"/>
    <w:rsid w:val="00280AF8"/>
    <w:rsid w:val="00281FE0"/>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39BD"/>
    <w:rsid w:val="002D4F4C"/>
    <w:rsid w:val="002E3422"/>
    <w:rsid w:val="002E63DC"/>
    <w:rsid w:val="002F469F"/>
    <w:rsid w:val="002F57C2"/>
    <w:rsid w:val="00300C11"/>
    <w:rsid w:val="00301FDF"/>
    <w:rsid w:val="00304C9A"/>
    <w:rsid w:val="0030536E"/>
    <w:rsid w:val="003067DF"/>
    <w:rsid w:val="00307882"/>
    <w:rsid w:val="003119A5"/>
    <w:rsid w:val="00313FF0"/>
    <w:rsid w:val="00315A76"/>
    <w:rsid w:val="00315FC4"/>
    <w:rsid w:val="0031639D"/>
    <w:rsid w:val="00321D5D"/>
    <w:rsid w:val="00325A80"/>
    <w:rsid w:val="00325F90"/>
    <w:rsid w:val="00327600"/>
    <w:rsid w:val="00331ECF"/>
    <w:rsid w:val="00332FA2"/>
    <w:rsid w:val="0033464E"/>
    <w:rsid w:val="00335D41"/>
    <w:rsid w:val="003420AD"/>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D7D"/>
    <w:rsid w:val="003F01A0"/>
    <w:rsid w:val="003F1F6C"/>
    <w:rsid w:val="003F34EF"/>
    <w:rsid w:val="003F366C"/>
    <w:rsid w:val="003F3CD4"/>
    <w:rsid w:val="003F4FAB"/>
    <w:rsid w:val="003F5DB8"/>
    <w:rsid w:val="00402C6D"/>
    <w:rsid w:val="004117C0"/>
    <w:rsid w:val="0042184B"/>
    <w:rsid w:val="00427A8C"/>
    <w:rsid w:val="004312D3"/>
    <w:rsid w:val="00440A39"/>
    <w:rsid w:val="004420A6"/>
    <w:rsid w:val="0045021B"/>
    <w:rsid w:val="00461297"/>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24C5"/>
    <w:rsid w:val="004D3E04"/>
    <w:rsid w:val="004D408A"/>
    <w:rsid w:val="004D7770"/>
    <w:rsid w:val="004E0267"/>
    <w:rsid w:val="004E5A04"/>
    <w:rsid w:val="00502BBC"/>
    <w:rsid w:val="005038BE"/>
    <w:rsid w:val="00504A7C"/>
    <w:rsid w:val="005050D1"/>
    <w:rsid w:val="00505541"/>
    <w:rsid w:val="00505EDA"/>
    <w:rsid w:val="00506E48"/>
    <w:rsid w:val="005115B6"/>
    <w:rsid w:val="00511BF8"/>
    <w:rsid w:val="00512BD9"/>
    <w:rsid w:val="005201B5"/>
    <w:rsid w:val="00521C00"/>
    <w:rsid w:val="005237EF"/>
    <w:rsid w:val="005320BE"/>
    <w:rsid w:val="00532E7A"/>
    <w:rsid w:val="00537051"/>
    <w:rsid w:val="00554293"/>
    <w:rsid w:val="00557C75"/>
    <w:rsid w:val="00557C80"/>
    <w:rsid w:val="00557FE5"/>
    <w:rsid w:val="005665AC"/>
    <w:rsid w:val="00570C4E"/>
    <w:rsid w:val="005760BF"/>
    <w:rsid w:val="005809EC"/>
    <w:rsid w:val="00581157"/>
    <w:rsid w:val="00581DF3"/>
    <w:rsid w:val="005837B6"/>
    <w:rsid w:val="00584F5A"/>
    <w:rsid w:val="00594ED4"/>
    <w:rsid w:val="005979FE"/>
    <w:rsid w:val="005A6F01"/>
    <w:rsid w:val="005B0A31"/>
    <w:rsid w:val="005B55BD"/>
    <w:rsid w:val="005B5B8E"/>
    <w:rsid w:val="005B68EF"/>
    <w:rsid w:val="005C2180"/>
    <w:rsid w:val="005C387E"/>
    <w:rsid w:val="005C5C76"/>
    <w:rsid w:val="005D0539"/>
    <w:rsid w:val="005D073D"/>
    <w:rsid w:val="005D28AD"/>
    <w:rsid w:val="005E0C76"/>
    <w:rsid w:val="005E20DD"/>
    <w:rsid w:val="005E5A3F"/>
    <w:rsid w:val="005F3E71"/>
    <w:rsid w:val="005F5443"/>
    <w:rsid w:val="00600063"/>
    <w:rsid w:val="00600245"/>
    <w:rsid w:val="00615A9A"/>
    <w:rsid w:val="00621226"/>
    <w:rsid w:val="006240EA"/>
    <w:rsid w:val="0062673B"/>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28A3"/>
    <w:rsid w:val="006837A1"/>
    <w:rsid w:val="00684EF4"/>
    <w:rsid w:val="00687D49"/>
    <w:rsid w:val="00690AF0"/>
    <w:rsid w:val="00695492"/>
    <w:rsid w:val="00697331"/>
    <w:rsid w:val="006B0898"/>
    <w:rsid w:val="006B1893"/>
    <w:rsid w:val="006B1F33"/>
    <w:rsid w:val="006C0903"/>
    <w:rsid w:val="006C22AA"/>
    <w:rsid w:val="006D283C"/>
    <w:rsid w:val="006D4070"/>
    <w:rsid w:val="006D50CC"/>
    <w:rsid w:val="006D6315"/>
    <w:rsid w:val="006D64FC"/>
    <w:rsid w:val="006D7C19"/>
    <w:rsid w:val="006D7E2C"/>
    <w:rsid w:val="006E3CEF"/>
    <w:rsid w:val="006E3E33"/>
    <w:rsid w:val="006E54D0"/>
    <w:rsid w:val="006E616B"/>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753"/>
    <w:rsid w:val="00723D49"/>
    <w:rsid w:val="00725DAD"/>
    <w:rsid w:val="00731438"/>
    <w:rsid w:val="00731A05"/>
    <w:rsid w:val="00737168"/>
    <w:rsid w:val="00740D1C"/>
    <w:rsid w:val="00744F4A"/>
    <w:rsid w:val="00745A5E"/>
    <w:rsid w:val="00752447"/>
    <w:rsid w:val="00753243"/>
    <w:rsid w:val="00753E32"/>
    <w:rsid w:val="00765E0A"/>
    <w:rsid w:val="00766B77"/>
    <w:rsid w:val="0077520C"/>
    <w:rsid w:val="00780A9E"/>
    <w:rsid w:val="007854AC"/>
    <w:rsid w:val="00787A71"/>
    <w:rsid w:val="00790970"/>
    <w:rsid w:val="00794BB2"/>
    <w:rsid w:val="007A2272"/>
    <w:rsid w:val="007A6583"/>
    <w:rsid w:val="007B2D68"/>
    <w:rsid w:val="007C17E9"/>
    <w:rsid w:val="007C51F2"/>
    <w:rsid w:val="007D1CF9"/>
    <w:rsid w:val="007D273C"/>
    <w:rsid w:val="007D4BEC"/>
    <w:rsid w:val="007E0DA5"/>
    <w:rsid w:val="007E1EFF"/>
    <w:rsid w:val="007E21F9"/>
    <w:rsid w:val="007E6F6D"/>
    <w:rsid w:val="007E799E"/>
    <w:rsid w:val="007F1B08"/>
    <w:rsid w:val="007F3017"/>
    <w:rsid w:val="00803CEA"/>
    <w:rsid w:val="008050A8"/>
    <w:rsid w:val="00807993"/>
    <w:rsid w:val="00830AF9"/>
    <w:rsid w:val="00847488"/>
    <w:rsid w:val="008558FA"/>
    <w:rsid w:val="008670A9"/>
    <w:rsid w:val="00871692"/>
    <w:rsid w:val="00871A28"/>
    <w:rsid w:val="0087291C"/>
    <w:rsid w:val="00875546"/>
    <w:rsid w:val="00886EF7"/>
    <w:rsid w:val="00895177"/>
    <w:rsid w:val="008958BE"/>
    <w:rsid w:val="008A0A00"/>
    <w:rsid w:val="008A4864"/>
    <w:rsid w:val="008C117D"/>
    <w:rsid w:val="008C1BA1"/>
    <w:rsid w:val="008C232A"/>
    <w:rsid w:val="008C2DE3"/>
    <w:rsid w:val="008D03B9"/>
    <w:rsid w:val="008D4959"/>
    <w:rsid w:val="008E68CB"/>
    <w:rsid w:val="00906EA2"/>
    <w:rsid w:val="0091190A"/>
    <w:rsid w:val="00911D6B"/>
    <w:rsid w:val="00912D5A"/>
    <w:rsid w:val="00924E2F"/>
    <w:rsid w:val="009257DA"/>
    <w:rsid w:val="00925A33"/>
    <w:rsid w:val="00935DE5"/>
    <w:rsid w:val="009524A2"/>
    <w:rsid w:val="009531FB"/>
    <w:rsid w:val="009621DC"/>
    <w:rsid w:val="0096250F"/>
    <w:rsid w:val="00962F3E"/>
    <w:rsid w:val="00965BB3"/>
    <w:rsid w:val="00971872"/>
    <w:rsid w:val="00974A79"/>
    <w:rsid w:val="009A2AA2"/>
    <w:rsid w:val="009A41D3"/>
    <w:rsid w:val="009A7139"/>
    <w:rsid w:val="009A7DE7"/>
    <w:rsid w:val="009B06DA"/>
    <w:rsid w:val="009B4034"/>
    <w:rsid w:val="009B47E3"/>
    <w:rsid w:val="009B53C1"/>
    <w:rsid w:val="009C0A9F"/>
    <w:rsid w:val="009C28E2"/>
    <w:rsid w:val="009C53A3"/>
    <w:rsid w:val="009C5C83"/>
    <w:rsid w:val="009D0CE2"/>
    <w:rsid w:val="009D1FB6"/>
    <w:rsid w:val="009D2421"/>
    <w:rsid w:val="009E2038"/>
    <w:rsid w:val="009E5B4B"/>
    <w:rsid w:val="009F14D5"/>
    <w:rsid w:val="009F4C38"/>
    <w:rsid w:val="009F7AA7"/>
    <w:rsid w:val="00A017B1"/>
    <w:rsid w:val="00A01F0E"/>
    <w:rsid w:val="00A051D8"/>
    <w:rsid w:val="00A05807"/>
    <w:rsid w:val="00A10A5D"/>
    <w:rsid w:val="00A1589E"/>
    <w:rsid w:val="00A23DC3"/>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93C48"/>
    <w:rsid w:val="00A96DA9"/>
    <w:rsid w:val="00A97562"/>
    <w:rsid w:val="00A97B58"/>
    <w:rsid w:val="00AA1926"/>
    <w:rsid w:val="00AA2A84"/>
    <w:rsid w:val="00AB0BD9"/>
    <w:rsid w:val="00AB5538"/>
    <w:rsid w:val="00AB6B8C"/>
    <w:rsid w:val="00AB7F3B"/>
    <w:rsid w:val="00AD0348"/>
    <w:rsid w:val="00AD673B"/>
    <w:rsid w:val="00AD7EB8"/>
    <w:rsid w:val="00AE6BB3"/>
    <w:rsid w:val="00AE75A2"/>
    <w:rsid w:val="00AE785D"/>
    <w:rsid w:val="00AF56BC"/>
    <w:rsid w:val="00B07AFA"/>
    <w:rsid w:val="00B11F19"/>
    <w:rsid w:val="00B13C91"/>
    <w:rsid w:val="00B13E9C"/>
    <w:rsid w:val="00B1453E"/>
    <w:rsid w:val="00B20EBB"/>
    <w:rsid w:val="00B22023"/>
    <w:rsid w:val="00B309B3"/>
    <w:rsid w:val="00B31447"/>
    <w:rsid w:val="00B343FB"/>
    <w:rsid w:val="00B4207D"/>
    <w:rsid w:val="00B438E9"/>
    <w:rsid w:val="00B46683"/>
    <w:rsid w:val="00B525EE"/>
    <w:rsid w:val="00B539FB"/>
    <w:rsid w:val="00B55A2E"/>
    <w:rsid w:val="00B602B4"/>
    <w:rsid w:val="00B61892"/>
    <w:rsid w:val="00B665E4"/>
    <w:rsid w:val="00B67947"/>
    <w:rsid w:val="00B70494"/>
    <w:rsid w:val="00B72D3F"/>
    <w:rsid w:val="00B75C33"/>
    <w:rsid w:val="00B76FA5"/>
    <w:rsid w:val="00B80F25"/>
    <w:rsid w:val="00B81B98"/>
    <w:rsid w:val="00B917D9"/>
    <w:rsid w:val="00B94BB4"/>
    <w:rsid w:val="00B9659B"/>
    <w:rsid w:val="00BA0570"/>
    <w:rsid w:val="00BA4CF3"/>
    <w:rsid w:val="00BA5856"/>
    <w:rsid w:val="00BB04CB"/>
    <w:rsid w:val="00BB0735"/>
    <w:rsid w:val="00BB34C2"/>
    <w:rsid w:val="00BC458C"/>
    <w:rsid w:val="00BC50CE"/>
    <w:rsid w:val="00BD25F4"/>
    <w:rsid w:val="00BD4BD3"/>
    <w:rsid w:val="00BD70C3"/>
    <w:rsid w:val="00BD7486"/>
    <w:rsid w:val="00BE47A5"/>
    <w:rsid w:val="00BF090F"/>
    <w:rsid w:val="00BF3D93"/>
    <w:rsid w:val="00BF5F0E"/>
    <w:rsid w:val="00BF737C"/>
    <w:rsid w:val="00C0026A"/>
    <w:rsid w:val="00C06863"/>
    <w:rsid w:val="00C239AA"/>
    <w:rsid w:val="00C279A6"/>
    <w:rsid w:val="00C30A41"/>
    <w:rsid w:val="00C30C8B"/>
    <w:rsid w:val="00C33E6E"/>
    <w:rsid w:val="00C34544"/>
    <w:rsid w:val="00C358CB"/>
    <w:rsid w:val="00C3646F"/>
    <w:rsid w:val="00C3783A"/>
    <w:rsid w:val="00C41D6D"/>
    <w:rsid w:val="00C45AC9"/>
    <w:rsid w:val="00C5746B"/>
    <w:rsid w:val="00C60A01"/>
    <w:rsid w:val="00C64054"/>
    <w:rsid w:val="00C7288D"/>
    <w:rsid w:val="00C73AA4"/>
    <w:rsid w:val="00C75012"/>
    <w:rsid w:val="00C7776F"/>
    <w:rsid w:val="00C803D6"/>
    <w:rsid w:val="00C80A68"/>
    <w:rsid w:val="00C839FF"/>
    <w:rsid w:val="00C91DCD"/>
    <w:rsid w:val="00CA0525"/>
    <w:rsid w:val="00CA2FF0"/>
    <w:rsid w:val="00CA3FE3"/>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30D2B"/>
    <w:rsid w:val="00D3237D"/>
    <w:rsid w:val="00D33382"/>
    <w:rsid w:val="00D3507B"/>
    <w:rsid w:val="00D406B2"/>
    <w:rsid w:val="00D46D70"/>
    <w:rsid w:val="00D50230"/>
    <w:rsid w:val="00D50D06"/>
    <w:rsid w:val="00D50E66"/>
    <w:rsid w:val="00D52086"/>
    <w:rsid w:val="00D61DEE"/>
    <w:rsid w:val="00D6480A"/>
    <w:rsid w:val="00D707C1"/>
    <w:rsid w:val="00D72A4C"/>
    <w:rsid w:val="00D72B09"/>
    <w:rsid w:val="00D77968"/>
    <w:rsid w:val="00D822AA"/>
    <w:rsid w:val="00DA771D"/>
    <w:rsid w:val="00DA7A2F"/>
    <w:rsid w:val="00DB0F16"/>
    <w:rsid w:val="00DB496D"/>
    <w:rsid w:val="00DB6C3B"/>
    <w:rsid w:val="00DC13DD"/>
    <w:rsid w:val="00DC3999"/>
    <w:rsid w:val="00DC42BF"/>
    <w:rsid w:val="00DC551F"/>
    <w:rsid w:val="00DC5BDF"/>
    <w:rsid w:val="00DC73D5"/>
    <w:rsid w:val="00DC7B78"/>
    <w:rsid w:val="00DD4D42"/>
    <w:rsid w:val="00DE0C02"/>
    <w:rsid w:val="00DF0774"/>
    <w:rsid w:val="00DF5115"/>
    <w:rsid w:val="00E0427F"/>
    <w:rsid w:val="00E10D92"/>
    <w:rsid w:val="00E119B2"/>
    <w:rsid w:val="00E1639E"/>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76640"/>
    <w:rsid w:val="00E80BFF"/>
    <w:rsid w:val="00E810CE"/>
    <w:rsid w:val="00E86EAA"/>
    <w:rsid w:val="00E90FB9"/>
    <w:rsid w:val="00EA5037"/>
    <w:rsid w:val="00EB162B"/>
    <w:rsid w:val="00EB3E24"/>
    <w:rsid w:val="00EB6ADD"/>
    <w:rsid w:val="00EB6BF0"/>
    <w:rsid w:val="00EB77D3"/>
    <w:rsid w:val="00EC050F"/>
    <w:rsid w:val="00EC73AF"/>
    <w:rsid w:val="00ED222F"/>
    <w:rsid w:val="00ED2AC6"/>
    <w:rsid w:val="00ED4456"/>
    <w:rsid w:val="00EE4F73"/>
    <w:rsid w:val="00EE65AA"/>
    <w:rsid w:val="00EE7144"/>
    <w:rsid w:val="00EF2395"/>
    <w:rsid w:val="00EF6354"/>
    <w:rsid w:val="00F01BD8"/>
    <w:rsid w:val="00F05CE8"/>
    <w:rsid w:val="00F0739B"/>
    <w:rsid w:val="00F07AE6"/>
    <w:rsid w:val="00F23CFB"/>
    <w:rsid w:val="00F257B3"/>
    <w:rsid w:val="00F33C51"/>
    <w:rsid w:val="00F40B2A"/>
    <w:rsid w:val="00F43EAC"/>
    <w:rsid w:val="00F47A2D"/>
    <w:rsid w:val="00F51D4A"/>
    <w:rsid w:val="00F52230"/>
    <w:rsid w:val="00F53DFB"/>
    <w:rsid w:val="00F6141A"/>
    <w:rsid w:val="00F6567D"/>
    <w:rsid w:val="00F66991"/>
    <w:rsid w:val="00F700CB"/>
    <w:rsid w:val="00F701F9"/>
    <w:rsid w:val="00F7332D"/>
    <w:rsid w:val="00F75C17"/>
    <w:rsid w:val="00F81B2A"/>
    <w:rsid w:val="00F829DE"/>
    <w:rsid w:val="00F83F91"/>
    <w:rsid w:val="00F914E5"/>
    <w:rsid w:val="00F91518"/>
    <w:rsid w:val="00F91C5B"/>
    <w:rsid w:val="00F92345"/>
    <w:rsid w:val="00F93C38"/>
    <w:rsid w:val="00FA1BB6"/>
    <w:rsid w:val="00FA311D"/>
    <w:rsid w:val="00FA31EA"/>
    <w:rsid w:val="00FA482F"/>
    <w:rsid w:val="00FA4E22"/>
    <w:rsid w:val="00FA517D"/>
    <w:rsid w:val="00FA7A8B"/>
    <w:rsid w:val="00FB07FE"/>
    <w:rsid w:val="00FB144A"/>
    <w:rsid w:val="00FB52D5"/>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C7A077-41A7-4506-9C80-A6873615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eva_v@krteplo.ru"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2991</Words>
  <Characters>21061</Characters>
  <Application>Microsoft Office Word</Application>
  <DocSecurity>0</DocSecurity>
  <Lines>175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24004</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4</cp:revision>
  <cp:lastPrinted>2018-02-15T06:40:00Z</cp:lastPrinted>
  <dcterms:created xsi:type="dcterms:W3CDTF">2018-02-13T07:59:00Z</dcterms:created>
  <dcterms:modified xsi:type="dcterms:W3CDTF">2018-02-15T06:40:00Z</dcterms:modified>
</cp:coreProperties>
</file>