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4A2D76">
      <w:pPr>
        <w:rPr>
          <w:sz w:val="23"/>
          <w:szCs w:val="23"/>
        </w:rPr>
      </w:pPr>
    </w:p>
    <w:p w:rsidR="00060C95" w:rsidRDefault="00060C95" w:rsidP="004A2D76">
      <w:pPr>
        <w:rPr>
          <w:sz w:val="23"/>
          <w:szCs w:val="23"/>
        </w:rPr>
      </w:pPr>
    </w:p>
    <w:p w:rsidR="00060C95" w:rsidRPr="004D4B5D" w:rsidRDefault="00060C95"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692E07">
        <w:rPr>
          <w:b/>
        </w:rPr>
        <w:t xml:space="preserve">на </w:t>
      </w:r>
      <w:r w:rsidR="00A643B4">
        <w:rPr>
          <w:b/>
        </w:rPr>
        <w:t>ок</w:t>
      </w:r>
      <w:r w:rsidR="00EF1523">
        <w:rPr>
          <w:b/>
        </w:rPr>
        <w:t>азание услуг по поверке средств измерений для нужд филиала АО «АТЭК» «Майкопские тепловые сети»</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AA3E72" w:rsidRDefault="00AA3E72"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968E3"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30"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3968E3"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1A1A5D">
        <w:trPr>
          <w:trHeight w:val="804"/>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30" w:type="pct"/>
            <w:tcBorders>
              <w:top w:val="single" w:sz="4" w:space="0" w:color="auto"/>
              <w:left w:val="single" w:sz="4" w:space="0" w:color="auto"/>
              <w:bottom w:val="single" w:sz="4" w:space="0" w:color="auto"/>
              <w:right w:val="single" w:sz="4" w:space="0" w:color="auto"/>
            </w:tcBorders>
          </w:tcPr>
          <w:tbl>
            <w:tblPr>
              <w:tblpPr w:leftFromText="180" w:rightFromText="180" w:vertAnchor="text" w:tblpX="-60"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7"/>
            </w:tblGrid>
            <w:tr w:rsidR="00EF1523" w:rsidTr="003C312A">
              <w:tc>
                <w:tcPr>
                  <w:tcW w:w="2615" w:type="pct"/>
                  <w:tcBorders>
                    <w:top w:val="single" w:sz="4" w:space="0" w:color="auto"/>
                    <w:left w:val="single" w:sz="4" w:space="0" w:color="auto"/>
                    <w:bottom w:val="single" w:sz="4" w:space="0" w:color="auto"/>
                    <w:right w:val="single" w:sz="4" w:space="0" w:color="auto"/>
                  </w:tcBorders>
                </w:tcPr>
                <w:p w:rsidR="00EF1523" w:rsidRPr="00755117" w:rsidRDefault="00EF1523" w:rsidP="00EF1523">
                  <w:pPr>
                    <w:rPr>
                      <w:noProof/>
                      <w:sz w:val="21"/>
                      <w:szCs w:val="21"/>
                    </w:rPr>
                  </w:pPr>
                  <w:r w:rsidRPr="00755117">
                    <w:rPr>
                      <w:noProof/>
                      <w:sz w:val="21"/>
                      <w:szCs w:val="21"/>
                    </w:rPr>
                    <w:t xml:space="preserve">Наименование структурного подразделения: Техническая дирекция Адрес электронной почты: </w:t>
                  </w:r>
                  <w:hyperlink r:id="rId11" w:history="1">
                    <w:r w:rsidRPr="00755117">
                      <w:rPr>
                        <w:sz w:val="21"/>
                        <w:szCs w:val="21"/>
                      </w:rPr>
                      <w:t>Lozhnikova@krteplo.ru</w:t>
                    </w:r>
                  </w:hyperlink>
                </w:p>
                <w:p w:rsidR="00EF1523" w:rsidRPr="00EF1523" w:rsidRDefault="00EF1523" w:rsidP="00EF1523">
                  <w:pPr>
                    <w:rPr>
                      <w:noProof/>
                    </w:rPr>
                  </w:pPr>
                  <w:r w:rsidRPr="00755117">
                    <w:rPr>
                      <w:noProof/>
                      <w:sz w:val="21"/>
                      <w:szCs w:val="21"/>
                    </w:rPr>
                    <w:t>Контактный телефон: (861) 299-10-10 доб. 402 Контактное лицо: Ложникова О.В.</w:t>
                  </w:r>
                </w:p>
              </w:tc>
            </w:tr>
          </w:tbl>
          <w:p w:rsidR="00333AEC" w:rsidRPr="00DC1F04" w:rsidRDefault="00333AEC" w:rsidP="00AA3E72">
            <w:pPr>
              <w:rPr>
                <w:color w:val="000000"/>
                <w:sz w:val="21"/>
                <w:szCs w:val="21"/>
              </w:rPr>
            </w:pPr>
          </w:p>
        </w:tc>
      </w:tr>
      <w:tr w:rsidR="00911D6B" w:rsidRPr="00DC1F04" w:rsidTr="001A1A5D">
        <w:trPr>
          <w:trHeight w:val="948"/>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EF1523" w:rsidP="00F23D9B">
            <w:pPr>
              <w:widowControl w:val="0"/>
              <w:shd w:val="clear" w:color="auto" w:fill="FFFFFF"/>
              <w:autoSpaceDE w:val="0"/>
              <w:autoSpaceDN w:val="0"/>
              <w:adjustRightInd w:val="0"/>
              <w:rPr>
                <w:sz w:val="21"/>
                <w:szCs w:val="21"/>
              </w:rPr>
            </w:pPr>
            <w:bookmarkStart w:id="0" w:name="mTenderCode"/>
            <w:bookmarkEnd w:id="0"/>
            <w:r w:rsidRPr="00EF1523">
              <w:rPr>
                <w:sz w:val="21"/>
                <w:szCs w:val="21"/>
              </w:rPr>
              <w:t>Открытый запрос предложений на право  заключения договора на выполнение работ по поверке средств измерений для нужд филиала ОАО «АТЭК» «Майкопские тепловые сети».</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1A1A5D" w:rsidP="00F23D9B">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Количество товара, объем работ/ услуг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1A1A5D" w:rsidRPr="00DC1F04" w:rsidTr="003E19AB">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Срок выполнения работ, оказания услуг, срок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30" w:type="pct"/>
            <w:tcBorders>
              <w:top w:val="single" w:sz="4" w:space="0" w:color="auto"/>
              <w:left w:val="single" w:sz="4" w:space="0" w:color="auto"/>
              <w:bottom w:val="single" w:sz="4" w:space="0" w:color="auto"/>
              <w:right w:val="single" w:sz="4" w:space="0" w:color="auto"/>
            </w:tcBorders>
          </w:tcPr>
          <w:p w:rsidR="00DA2BD3" w:rsidRPr="00DC1F04" w:rsidRDefault="00F4514E" w:rsidP="009C763E">
            <w:pPr>
              <w:spacing w:line="276" w:lineRule="auto"/>
              <w:jc w:val="both"/>
              <w:rPr>
                <w:sz w:val="21"/>
                <w:szCs w:val="21"/>
                <w:highlight w:val="yellow"/>
              </w:rPr>
            </w:pPr>
            <w:r w:rsidRPr="00DC1F04">
              <w:rPr>
                <w:b/>
                <w:sz w:val="21"/>
                <w:szCs w:val="21"/>
              </w:rPr>
              <w:t>Начальная (максимальная) цена договора с учетом НДС 18%:</w:t>
            </w:r>
            <w:r w:rsidRPr="00DC1F04">
              <w:rPr>
                <w:sz w:val="21"/>
                <w:szCs w:val="21"/>
              </w:rPr>
              <w:t xml:space="preserve"> </w:t>
            </w:r>
            <w:r w:rsidR="009C763E">
              <w:rPr>
                <w:sz w:val="21"/>
                <w:szCs w:val="21"/>
              </w:rPr>
              <w:t>1 208 000,00</w:t>
            </w:r>
            <w:r w:rsidR="002C48EB" w:rsidRPr="002C48EB">
              <w:rPr>
                <w:sz w:val="21"/>
                <w:szCs w:val="21"/>
              </w:rPr>
              <w:t xml:space="preserve"> руб. (</w:t>
            </w:r>
            <w:r w:rsidR="009C763E">
              <w:rPr>
                <w:sz w:val="21"/>
                <w:szCs w:val="21"/>
              </w:rPr>
              <w:t>Один миллион двести восемь тысяч рублей</w:t>
            </w:r>
            <w:r w:rsidR="002C48EB" w:rsidRPr="002C48EB">
              <w:rPr>
                <w:sz w:val="21"/>
                <w:szCs w:val="21"/>
              </w:rPr>
              <w:t xml:space="preserve"> </w:t>
            </w:r>
            <w:r w:rsidR="009C763E">
              <w:rPr>
                <w:sz w:val="21"/>
                <w:szCs w:val="21"/>
              </w:rPr>
              <w:t>00</w:t>
            </w:r>
            <w:r w:rsidR="002C48EB" w:rsidRPr="002C48EB">
              <w:rPr>
                <w:sz w:val="21"/>
                <w:szCs w:val="21"/>
              </w:rPr>
              <w:t xml:space="preserve"> копейки) с НДС (18%)</w:t>
            </w:r>
            <w:r w:rsidR="00F23D9B" w:rsidRPr="00DC1F04">
              <w:rPr>
                <w:b/>
                <w:sz w:val="21"/>
                <w:szCs w:val="21"/>
              </w:rPr>
              <w:t xml:space="preserve"> Начальная (максимальная) цена договора </w:t>
            </w:r>
            <w:r w:rsidR="00F23D9B">
              <w:rPr>
                <w:b/>
                <w:sz w:val="21"/>
                <w:szCs w:val="21"/>
              </w:rPr>
              <w:t>без</w:t>
            </w:r>
            <w:r w:rsidR="00F23D9B" w:rsidRPr="00DC1F04">
              <w:rPr>
                <w:b/>
                <w:sz w:val="21"/>
                <w:szCs w:val="21"/>
              </w:rPr>
              <w:t xml:space="preserve"> учет</w:t>
            </w:r>
            <w:r w:rsidR="00F23D9B">
              <w:rPr>
                <w:b/>
                <w:sz w:val="21"/>
                <w:szCs w:val="21"/>
              </w:rPr>
              <w:t>а</w:t>
            </w:r>
            <w:r w:rsidR="00F23D9B" w:rsidRPr="00DC1F04">
              <w:rPr>
                <w:b/>
                <w:sz w:val="21"/>
                <w:szCs w:val="21"/>
              </w:rPr>
              <w:t xml:space="preserve"> НДС 18%</w:t>
            </w:r>
            <w:r w:rsidR="009C763E">
              <w:rPr>
                <w:b/>
                <w:sz w:val="21"/>
                <w:szCs w:val="21"/>
              </w:rPr>
              <w:t xml:space="preserve"> </w:t>
            </w:r>
            <w:r w:rsidR="009C763E" w:rsidRPr="009C763E">
              <w:rPr>
                <w:sz w:val="21"/>
                <w:szCs w:val="21"/>
              </w:rPr>
              <w:t>1</w:t>
            </w:r>
            <w:r w:rsidR="009C763E">
              <w:rPr>
                <w:sz w:val="21"/>
                <w:szCs w:val="21"/>
              </w:rPr>
              <w:t> </w:t>
            </w:r>
            <w:r w:rsidR="009C763E" w:rsidRPr="009C763E">
              <w:rPr>
                <w:sz w:val="21"/>
                <w:szCs w:val="21"/>
              </w:rPr>
              <w:t>023</w:t>
            </w:r>
            <w:r w:rsidR="009C763E">
              <w:rPr>
                <w:sz w:val="21"/>
                <w:szCs w:val="21"/>
              </w:rPr>
              <w:t> </w:t>
            </w:r>
            <w:r w:rsidR="009C763E" w:rsidRPr="009C763E">
              <w:rPr>
                <w:sz w:val="21"/>
                <w:szCs w:val="21"/>
              </w:rPr>
              <w:t>728</w:t>
            </w:r>
            <w:r w:rsidR="009C763E">
              <w:rPr>
                <w:sz w:val="21"/>
                <w:szCs w:val="21"/>
              </w:rPr>
              <w:t>,</w:t>
            </w:r>
            <w:r w:rsidR="009C763E" w:rsidRPr="009C763E">
              <w:rPr>
                <w:sz w:val="21"/>
                <w:szCs w:val="21"/>
              </w:rPr>
              <w:t>81</w:t>
            </w:r>
            <w:r w:rsidR="00F23D9B" w:rsidRPr="00F23D9B">
              <w:rPr>
                <w:sz w:val="21"/>
                <w:szCs w:val="21"/>
              </w:rPr>
              <w:t xml:space="preserve"> (</w:t>
            </w:r>
            <w:r w:rsidR="009C763E">
              <w:rPr>
                <w:sz w:val="21"/>
                <w:szCs w:val="21"/>
              </w:rPr>
              <w:t>Один миллион двадцать три тысячи семьсот двадцать восемь рублей 81 копейка</w:t>
            </w:r>
            <w:r w:rsidR="00F23D9B" w:rsidRPr="00F23D9B">
              <w:rPr>
                <w:sz w:val="21"/>
                <w:szCs w:val="21"/>
              </w:rPr>
              <w:t xml:space="preserve">)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30212F" w:rsidRPr="00AD6CDF" w:rsidRDefault="00AD6CDF" w:rsidP="00AD6CDF">
            <w:pPr>
              <w:pStyle w:val="310"/>
              <w:ind w:left="0" w:firstLine="0"/>
              <w:jc w:val="both"/>
              <w:rPr>
                <w:rFonts w:ascii="Times New Roman" w:hAnsi="Times New Roman" w:cs="Times New Roman"/>
                <w:sz w:val="22"/>
                <w:szCs w:val="22"/>
              </w:rPr>
            </w:pPr>
            <w:r>
              <w:rPr>
                <w:rFonts w:ascii="Times New Roman" w:hAnsi="Times New Roman" w:cs="Times New Roman"/>
                <w:sz w:val="22"/>
                <w:szCs w:val="22"/>
              </w:rPr>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1A1A5D">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1A1A5D">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3968E3" w:rsidP="00692E07">
            <w:pPr>
              <w:rPr>
                <w:sz w:val="21"/>
                <w:szCs w:val="21"/>
              </w:rPr>
            </w:pPr>
            <w:r>
              <w:rPr>
                <w:noProof/>
                <w:sz w:val="21"/>
                <w:szCs w:val="21"/>
              </w:rPr>
              <w:t>12</w:t>
            </w:r>
            <w:r w:rsidR="00904146" w:rsidRPr="00DC1F04">
              <w:rPr>
                <w:noProof/>
                <w:sz w:val="21"/>
                <w:szCs w:val="21"/>
              </w:rPr>
              <w:t xml:space="preserve">-00 </w:t>
            </w:r>
            <w:r w:rsidR="00692E07">
              <w:rPr>
                <w:noProof/>
                <w:sz w:val="21"/>
                <w:szCs w:val="21"/>
              </w:rPr>
              <w:t>08</w:t>
            </w:r>
            <w:r w:rsidR="00904146" w:rsidRPr="00DC1F04">
              <w:rPr>
                <w:noProof/>
                <w:sz w:val="21"/>
                <w:szCs w:val="21"/>
              </w:rPr>
              <w:t>.0</w:t>
            </w:r>
            <w:r w:rsidR="00692E07">
              <w:rPr>
                <w:noProof/>
                <w:sz w:val="21"/>
                <w:szCs w:val="21"/>
              </w:rPr>
              <w:t>5</w:t>
            </w:r>
            <w:r w:rsidR="00904146" w:rsidRPr="00DC1F04">
              <w:rPr>
                <w:noProof/>
                <w:sz w:val="21"/>
                <w:szCs w:val="21"/>
              </w:rPr>
              <w:t>.2018 год</w:t>
            </w:r>
          </w:p>
        </w:tc>
      </w:tr>
      <w:tr w:rsidR="00904146" w:rsidRPr="00DC1F04" w:rsidTr="001A1A5D">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DC1F04" w:rsidP="00692E07">
            <w:pPr>
              <w:rPr>
                <w:sz w:val="21"/>
                <w:szCs w:val="21"/>
              </w:rPr>
            </w:pPr>
            <w:r w:rsidRPr="00DC1F04">
              <w:rPr>
                <w:sz w:val="21"/>
                <w:szCs w:val="21"/>
              </w:rPr>
              <w:t>12</w:t>
            </w:r>
            <w:r w:rsidR="00904146" w:rsidRPr="00DC1F04">
              <w:rPr>
                <w:sz w:val="21"/>
                <w:szCs w:val="21"/>
              </w:rPr>
              <w:t xml:space="preserve">-00 </w:t>
            </w:r>
            <w:r w:rsidR="00692E07">
              <w:rPr>
                <w:sz w:val="21"/>
                <w:szCs w:val="21"/>
              </w:rPr>
              <w:t>16</w:t>
            </w:r>
            <w:r w:rsidR="00904146" w:rsidRPr="00DC1F04">
              <w:rPr>
                <w:sz w:val="21"/>
                <w:szCs w:val="21"/>
              </w:rPr>
              <w:t>.0</w:t>
            </w:r>
            <w:r w:rsidR="002C48EB">
              <w:rPr>
                <w:sz w:val="21"/>
                <w:szCs w:val="21"/>
              </w:rPr>
              <w:t>5</w:t>
            </w:r>
            <w:r w:rsidR="00904146" w:rsidRPr="00DC1F04">
              <w:rPr>
                <w:sz w:val="21"/>
                <w:szCs w:val="21"/>
              </w:rPr>
              <w:t>.2018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692E07">
            <w:pPr>
              <w:rPr>
                <w:sz w:val="21"/>
                <w:szCs w:val="21"/>
              </w:rPr>
            </w:pPr>
            <w:r w:rsidRPr="00DC1F04">
              <w:rPr>
                <w:sz w:val="21"/>
                <w:szCs w:val="21"/>
              </w:rPr>
              <w:t xml:space="preserve"> до 12-00 </w:t>
            </w:r>
            <w:r w:rsidR="00692E07">
              <w:rPr>
                <w:sz w:val="21"/>
                <w:szCs w:val="21"/>
              </w:rPr>
              <w:t>17</w:t>
            </w:r>
            <w:r w:rsidRPr="00DC1F04">
              <w:rPr>
                <w:sz w:val="21"/>
                <w:szCs w:val="21"/>
              </w:rPr>
              <w:t>.0</w:t>
            </w:r>
            <w:r w:rsidR="002C48EB">
              <w:rPr>
                <w:sz w:val="21"/>
                <w:szCs w:val="21"/>
              </w:rPr>
              <w:t>5</w:t>
            </w:r>
            <w:r w:rsidRPr="00DC1F04">
              <w:rPr>
                <w:sz w:val="21"/>
                <w:szCs w:val="21"/>
              </w:rPr>
              <w:t>.2018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692E07">
            <w:pPr>
              <w:autoSpaceDE w:val="0"/>
              <w:autoSpaceDN w:val="0"/>
              <w:adjustRightInd w:val="0"/>
              <w:outlineLvl w:val="1"/>
              <w:rPr>
                <w:sz w:val="21"/>
                <w:szCs w:val="21"/>
              </w:rPr>
            </w:pPr>
            <w:r w:rsidRPr="00DC1F04">
              <w:rPr>
                <w:sz w:val="21"/>
                <w:szCs w:val="21"/>
              </w:rPr>
              <w:t xml:space="preserve"> до 12-00 </w:t>
            </w:r>
            <w:r w:rsidR="009C763E">
              <w:rPr>
                <w:sz w:val="21"/>
                <w:szCs w:val="21"/>
              </w:rPr>
              <w:t>1</w:t>
            </w:r>
            <w:r w:rsidR="00692E07">
              <w:rPr>
                <w:sz w:val="21"/>
                <w:szCs w:val="21"/>
              </w:rPr>
              <w:t>8</w:t>
            </w:r>
            <w:r w:rsidRPr="00DC1F04">
              <w:rPr>
                <w:sz w:val="21"/>
                <w:szCs w:val="21"/>
              </w:rPr>
              <w:t>.0</w:t>
            </w:r>
            <w:r w:rsidR="002C48EB">
              <w:rPr>
                <w:sz w:val="21"/>
                <w:szCs w:val="21"/>
              </w:rPr>
              <w:t>5</w:t>
            </w:r>
            <w:r w:rsidRPr="00DC1F04">
              <w:rPr>
                <w:sz w:val="21"/>
                <w:szCs w:val="21"/>
              </w:rPr>
              <w:t>.2018 год</w:t>
            </w:r>
            <w:bookmarkStart w:id="2" w:name="_GoBack"/>
            <w:bookmarkEnd w:id="2"/>
          </w:p>
        </w:tc>
      </w:tr>
      <w:tr w:rsidR="00911D6B" w:rsidRPr="00DC1F04" w:rsidTr="001A1A5D">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autoSpaceDE w:val="0"/>
              <w:autoSpaceDN w:val="0"/>
              <w:adjustRightInd w:val="0"/>
              <w:jc w:val="both"/>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r w:rsidR="0093016A" w:rsidRPr="00DC1F04">
              <w:rPr>
                <w:i/>
                <w:sz w:val="21"/>
                <w:szCs w:val="21"/>
              </w:rPr>
              <w:t>указанными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DC1F04" w:rsidTr="001A1A5D">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30" w:type="pct"/>
            <w:tcBorders>
              <w:top w:val="single" w:sz="4" w:space="0" w:color="auto"/>
              <w:left w:val="single" w:sz="4" w:space="0" w:color="auto"/>
              <w:bottom w:val="single" w:sz="4" w:space="0" w:color="auto"/>
              <w:right w:val="single" w:sz="4" w:space="0" w:color="auto"/>
            </w:tcBorders>
          </w:tcPr>
          <w:p w:rsidR="003D215A" w:rsidRPr="00DC1F04" w:rsidRDefault="005774CD" w:rsidP="005774CD">
            <w:pPr>
              <w:autoSpaceDE w:val="0"/>
              <w:autoSpaceDN w:val="0"/>
              <w:adjustRightInd w:val="0"/>
              <w:jc w:val="both"/>
              <w:outlineLvl w:val="1"/>
              <w:rPr>
                <w:i/>
                <w:sz w:val="21"/>
                <w:szCs w:val="21"/>
              </w:rPr>
            </w:pPr>
            <w:r>
              <w:rPr>
                <w:i/>
                <w:sz w:val="21"/>
                <w:szCs w:val="21"/>
              </w:rPr>
              <w:t>Исполнитель</w:t>
            </w:r>
            <w:r w:rsidR="00542FC7" w:rsidRPr="00DC1F04">
              <w:rPr>
                <w:i/>
                <w:sz w:val="21"/>
                <w:szCs w:val="21"/>
              </w:rPr>
              <w:t xml:space="preserve">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00542FC7" w:rsidRPr="00DC1F04">
              <w:rPr>
                <w:i/>
                <w:sz w:val="21"/>
                <w:szCs w:val="21"/>
              </w:rPr>
              <w:t xml:space="preserve"> обязан соблюдать требования </w:t>
            </w:r>
            <w:r>
              <w:rPr>
                <w:i/>
                <w:sz w:val="21"/>
                <w:szCs w:val="21"/>
              </w:rPr>
              <w:t>безопасности</w:t>
            </w:r>
            <w:r w:rsidR="00542FC7" w:rsidRPr="00DC1F04">
              <w:rPr>
                <w:i/>
                <w:sz w:val="21"/>
                <w:szCs w:val="21"/>
              </w:rPr>
              <w:t>.</w:t>
            </w:r>
          </w:p>
        </w:tc>
      </w:tr>
      <w:tr w:rsidR="00911D6B" w:rsidRPr="00DC1F04" w:rsidTr="001A1A5D">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1A1A5D">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с даты начала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r w:rsidRPr="00315961">
              <w:rPr>
                <w:b/>
                <w:sz w:val="22"/>
                <w:szCs w:val="22"/>
                <w:lang w:val="en-US"/>
              </w:rPr>
              <w:t>i</w:t>
            </w:r>
            <w:r w:rsidRPr="00315961">
              <w:rPr>
                <w:b/>
                <w:sz w:val="22"/>
                <w:szCs w:val="22"/>
              </w:rPr>
              <w:t>-й заявке по указанному критерию умножается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Pr>
          <w:sz w:val="22"/>
          <w:szCs w:val="22"/>
        </w:rPr>
        <w:t xml:space="preserve">- </w:t>
      </w:r>
      <w:r w:rsidR="009C763E">
        <w:rPr>
          <w:sz w:val="22"/>
          <w:szCs w:val="22"/>
        </w:rPr>
        <w:t>Наличие действующих лицензий</w:t>
      </w:r>
      <w:r>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sectPr w:rsidR="00CB1F60" w:rsidRPr="00315961" w:rsidSect="00315961">
      <w:headerReference w:type="even" r:id="rId14"/>
      <w:headerReference w:type="default" r:id="rId15"/>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68E3">
      <w:rPr>
        <w:rStyle w:val="a9"/>
        <w:noProof/>
      </w:rPr>
      <w:t>4</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60C95"/>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48EB"/>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68E3"/>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95F"/>
    <w:rsid w:val="006828A3"/>
    <w:rsid w:val="006837A1"/>
    <w:rsid w:val="00684EF4"/>
    <w:rsid w:val="00687D49"/>
    <w:rsid w:val="00690AF0"/>
    <w:rsid w:val="00692E07"/>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55117"/>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1DE"/>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C763E"/>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3B4"/>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B5538"/>
    <w:rsid w:val="00AB6B8C"/>
    <w:rsid w:val="00AB7B44"/>
    <w:rsid w:val="00AB7F3B"/>
    <w:rsid w:val="00AD0348"/>
    <w:rsid w:val="00AD673B"/>
    <w:rsid w:val="00AD69E6"/>
    <w:rsid w:val="00AD6CA6"/>
    <w:rsid w:val="00AD6CDF"/>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523"/>
    <w:rsid w:val="00EF1FD2"/>
    <w:rsid w:val="00EF2395"/>
    <w:rsid w:val="00EF2AF0"/>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61B2"/>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zhnikova@krtepl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F9CD-906A-4F32-AAC5-67F630F9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2500</Words>
  <Characters>17397</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19858</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23</cp:revision>
  <cp:lastPrinted>2018-04-13T11:29:00Z</cp:lastPrinted>
  <dcterms:created xsi:type="dcterms:W3CDTF">2018-01-24T07:15:00Z</dcterms:created>
  <dcterms:modified xsi:type="dcterms:W3CDTF">2018-05-08T07:25:00Z</dcterms:modified>
</cp:coreProperties>
</file>